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 w:ascii="方正小标宋简体" w:eastAsia="方正小标宋简体"/>
          <w:color w:val="FF0000"/>
        </w:rPr>
        <w:pict>
          <v:shape id="_x0000_i1025" o:spt="136" type="#_x0000_t136" style="height:72.6pt;width:409.45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枣庄市市中区人民政府办公室" style="font-family:方正小标宋简体;font-size:36pt;font-weight:bold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市中政办字〔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2021</w:t>
      </w:r>
      <w:r>
        <w:rPr>
          <w:rFonts w:hint="eastAsia" w:ascii="楷体_GB2312" w:eastAsia="楷体_GB2312"/>
          <w:b/>
          <w:sz w:val="32"/>
          <w:szCs w:val="32"/>
        </w:rPr>
        <w:t>〕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18</w:t>
      </w:r>
      <w:r>
        <w:rPr>
          <w:rFonts w:hint="eastAsia" w:ascii="楷体_GB2312" w:eastAsia="楷体_GB2312"/>
          <w:b/>
          <w:sz w:val="32"/>
          <w:szCs w:val="32"/>
        </w:rPr>
        <w:t>号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-3810</wp:posOffset>
                </wp:positionV>
                <wp:extent cx="5628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3pt;margin-top:-0.3pt;height:0pt;width:443.2pt;z-index:251658240;mso-width-relative:page;mso-height-relative:page;" filled="f" stroked="t" coordsize="21600,21600" o:gfxdata="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DfY2i1QAAAAcBAAAPAAAAAAAAAAEAIAAAADgAAABkcnMvZG93bnJldi54bWxQ&#10;SwECFAAUAAAACACHTuJA8jSQueQBAAChAwAADgAAAAAAAAABACAAAAA6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市中区人民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印发关于进一步提升基层政务服务能力的实施方案的通知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各镇人民政府，各街道办事处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政府各部门单位：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《关于进一步提升基层政务服务能力的实施方案》已经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政府同意，现转发给你们，请认真贯彻执行。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2021年11月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（此件公开发布）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关于进一步提升基层政务服务能力的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为深入贯彻党中央国务院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省委省政府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和市委市政府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关于加强基层治理体系和治理能力现代化建设的决策部署，进一步提升基层政务服务能力，补齐基层政务服务在线上线下不够融合、场所建设水平不够高、信息化应用还不足等方面的短板和薄弱环节，打通服务企业、群众的“最后一公里”，结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整合基层政务服务资源，丰富基层政务服务供给，完善基层政务服务体系，积极回应企业、群众呼声和需求，推进基层政务服务从“能办”到“快办”“易办”“好办”转变，持续提升基层政务服务能力和水平。2021年年底前，实体站点分类实现标准化，场所布局更加完善；基层办理事项进一步增加，与企业、群众生产生活密切相关的政务服务事项实现就近办；事项办理更加标准规范，办事体验度不断提升，社会获得感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（一）推进线上办理，实现基层政务服务“快办”。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强化“互联网＋政务服务”，加快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一体化政务服务平台优化升级，完善“爱山东”APP 功能，以信息技术赋能政务服务质效，让数据多跑路、群众少跑腿。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1．深化网上运行。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按照“应上尽上”原则，推进基层政务服务事项全面网上运行，实现群众外网申报、审批线上流转、结果在线可查。11月底前，各级各部门对照基层办理政务服务事项实施清单，组织逐项梳理完善事项要素，实现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域统一、标准规范。12月底前，各级各部门对网上站点实行动态调整，确保镇（街道）、村（社区）网上站点全覆盖。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2．推进掌上办理。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夯实基层“掌上办”服务基础，实现网上政务服务事项与“爱山东”APP 有效衔接。11月底前，依托“爱山东”APP，围绕教育、医疗、社保等与群众生产生活密切相关的重点领域，将基层便民服务事项纳入“爱山东”APP区分厅办理。12月底前，推动“爱山东”APP身份证、营业执照、不动产证等高频电子证照亮证应用向基层延伸，实现更多基层便民服务事项“掌上办、一次办、快捷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3．提升线上办事便利度。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持续推进基层政务服务事项减时限、减材料、减环节，实现更多事项“即交即办”。优化网上办、掌上办申报功能，通过历史数据自动填充、电子证照自动关联、减少页面跳转等技术手段，推动系统简便易用、操作灵活便捷。加强网上事项办理引导，发布宣传海报、制作操作视频、开展体验式服务等，引导企业群众在线办理各类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（二）畅通服务路径，实现基层政务服务“易办”。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完善基层便民服务中心（站、点）布局，推动一链办理、全省通办、跨省通办等服务向基层延伸，让企业、群众实现“家门口”办理。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4．编制基层办理政务服务事项实施清单。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各级各部门完善委托收件、委托受理、帮办代办等方式，努力实现个人政务服务事项在基层“能办尽办”。11月底前，出台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基层办理政务服务事项实施清单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各基层便民服务中心（站、点）将办理事项目录、服务指南、工作制度等，通过工作折页、电子显示屏等方式在场所内公示。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5．推进基层场所标准化建设。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整合利用现有的服务场地、设施等资源，根据有关工作部署，统筹推进村（社区）便民服务场所建设，结合地域特点开展创新实践。12月底前，镇（街道）便民服务场所按照基础型、标准型、标杆型三档对应的建设标准和要求，组织开展达标建设，推动镇（街道）便民服务场所全部达到基础型建设标准，力争达到标准型或标杆型建设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6．合理布局社会合作站点。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按照互利共赢原则，依托银行金融网点、邮政网点、医疗站点、商业综合体、集贸市场、功能园区等，灵活设立“政务＋金融（邮、商、医）”合作服务网点；在银行、商场、超市、医院等人流量大、业务办理需求多的公共场所，布设自助终端机、安装便民充值设备，满足企业群众差异化办事需求。11月底前，明确合作站点布局方案，分步推进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7．深化基层集成服务。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11月底前，各区（市）围绕个人全生命周期，梳理已推出的“事项联办”和“一链办理”主题式服务，将基层群众有办理需求的主题式服务，延伸到镇（街道）便民服务中心办理，公布基层实施的“一件事”目录，编制标准化服务指南。12月底前，参照“双十镇”便民服务中心设立“全省通办”“跨省通办”窗口要求，探索将“全省通办”“跨省通办”窗口向各镇（街道）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（三）提升服务水平，实现基层政务服务“好办”。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聚焦企业群众办事体验和需求，切实提升基层工作人员综合服务素质和能力，增强企业群众办事体验感和便利度。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8．提升综合服务能力。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通过开展专题培训、岗位练兵、技能比武、观摩交流等多种方式，加强对基层政务服务工作人员业务培训，提升专（兼）职帮办代办人员素质能力。11月底前，分类制定基层人员能力提升方案并统筹推进落实。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9．强化帮办代办服务。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按照“就近、就熟”原则，依托村（社区）党员干部、社区工作者、网格员、志愿服务者等，充实基层帮办代办服务力量，为基层企业群众提供进村入户、政策咨询、帮办代办、进度跟踪、信息反馈等服务。11月20日前，在各便民服务中心（站、点）公开栏、宣传栏等公示帮办代办制度、人员名单、联系方式及服务范围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10．加强特殊群体服务。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开展实体大厅无障碍改造和适老化提升，配备老花镜、轮椅、急救药箱等便民服务设施，开通老年人、残疾人等特殊群体办事绿色通道。加强网上站点优化提升，开发内容朗读、字体放大、语音辅助等功能。强化服务支撑，通过物流寄送、政务服务大篷车等形式，开展免费上门服务、居家服务。11月底前，各级各部门统筹完成实体大厅提升改造，满足特殊群体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11．编制政务服务地图。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梳理汇总政务服务线上线下办事渠道和服务事项，开发“政务服务地图”功能，为企业群众提供大厅位置、各类服务网点布局、自助服务终端布设、营业时间、咨询电话、可办业务、预约申请等服务功能，并提供位置导航，实现基层政务服务看得见、查得到、能操作。借鉴省内“政务服务地图”试点市建设经验，加快推进镇（街道）、村（社区）便民服务中心（站、点）配置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各级各部门要高度重视基层政务服务能力提升工作，以群众需求为出发点和落脚点，强化工作部署，狠抓任务落实，确保取得成效。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政府办公室、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区行政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审批服务局要牵头抓总，强化统筹协调，加强对各项工作任务的日常调度指导，对进展成效和经验做法复制推广。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各镇街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要做好任务分解，强化检查督导，研究解决工作中遇到的困难和问题，加强基层政务服务品牌建设；要发挥基层首创精神，及时总结典型案例，深度提炼经验做法，切实提升为民服务能力。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附件：1．镇（街道）便民服务中心建设指导标准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2．村（社区）便民服务站（点）建设指导标准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4578"/>
        <w:tblW w:w="8661" w:type="dxa"/>
        <w:jc w:val="center"/>
        <w:tblInd w:w="0" w:type="dxa"/>
        <w:tblBorders>
          <w:top w:val="single" w:color="auto" w:sz="4" w:space="0"/>
          <w:left w:val="single" w:color="FFFFFF" w:sz="8" w:space="0"/>
          <w:bottom w:val="single" w:color="auto" w:sz="4" w:space="0"/>
          <w:right w:val="single" w:color="FFFFFF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1"/>
      </w:tblGrid>
      <w:tr>
        <w:tblPrEx>
          <w:tblBorders>
            <w:top w:val="single" w:color="auto" w:sz="4" w:space="0"/>
            <w:left w:val="single" w:color="FFFFFF" w:sz="8" w:space="0"/>
            <w:bottom w:val="single" w:color="auto" w:sz="4" w:space="0"/>
            <w:right w:val="single" w:color="FFFFFF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7" w:hRule="atLeast"/>
          <w:jc w:val="center"/>
        </w:trPr>
        <w:tc>
          <w:tcPr>
            <w:tcW w:w="8661" w:type="dxa"/>
            <w:tcBorders>
              <w:top w:val="single" w:color="auto" w:sz="4" w:space="0"/>
              <w:left w:val="single" w:color="FFFFFF" w:sz="8" w:space="0"/>
              <w:bottom w:val="single" w:color="auto" w:sz="4" w:space="0"/>
              <w:right w:val="single" w:color="FFFFFF" w:sz="8" w:space="0"/>
            </w:tcBorders>
            <w:vAlign w:val="top"/>
          </w:tcPr>
          <w:p>
            <w:pPr>
              <w:spacing w:line="516" w:lineRule="exact"/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市中区人民政府办公室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日印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镇（街道）便民服务中心建设指导标准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tbl>
      <w:tblPr>
        <w:tblStyle w:val="6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855"/>
        <w:gridCol w:w="2177"/>
        <w:gridCol w:w="2177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0" w:hRule="atLeast"/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基础型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标准型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标杆型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建设面积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场所面积不低于100㎡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场所面积不低于200㎡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场所面积不低于300㎡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统一标识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在便民服务中心门牌上使用统一的“山东政务服务”标识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在便民服务中心门牌、公示制度、内设装饰上使用统一的“山东政务服务”标识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在大厅整体设计规划、硬件装饰、人员胸牌标识、服务手册等全面使用统一的“山东政务服务”标识，布局大方美观，鲜明醒目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功能布局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设置咨询导办区、业务办理区、休息等候区、投诉受理区、政务公开栏（区）基本功能分区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设置咨询导办区、业务办理区、休息等候区、投诉受理区、帮办代办区、自助服务区、政务公开栏（区）等功能分区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设置咨询导办区、业务办理区、休息等候区、投诉受理区、帮办代办区、自助服务区、特色服务区、政务公开区等功能分区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窗口设置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设置综合服务窗口、医保服务窗口、民政服务窗口、退役军人服务窗口、社保服务窗口、市场准入窗口和三资管理等服务窗口。鼓励相关联业务推行综合一窗受理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设置综合服务窗口、医保服务窗口、民政服务窗口、退役军人服务窗口、社保服务窗口、市场准入窗口、三资管理窗口、投诉受理 窗 口 等 服 务 窗口。相关联业务推行综合一窗受理、一链办理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设置综合服务窗口、医保服务窗口、民政服务窗口、退役军人服务窗口、社保服务窗口、市场准入、三资管理窗口、投诉受理窗口、跨域通办窗口、兜底服务窗口、潮汐窗口等服务窗口。全面推行一窗综合受理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人员配备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配备便民服务中心主任1名，配备6 名以上专（兼）职窗口工作人员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明确机构、人员、编制，配备便民服务中心主任1名，配备8名以上专职窗口工作人员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明确机构、人员、编制，配备便民服务中心主任、副主任，配备10名以上专职窗口工作人员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办公设备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配备办公桌椅、办公电脑、打印机、复印机、扫描仪（高拍仪）、固定电话、档案柜、窗口信息指示牌、视频监控、网络监察系统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配备办公桌椅、办公电脑、打印机、复印机、扫描仪（高拍仪）、固定电话、档案柜、窗口信息指示牌、视频监控、网络监察系统、自助服务终端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配备办公桌椅、办公电脑、打印机、复印机、扫描仪（高拍仪）、固定电话、档案柜、窗口信息指示牌、视频监控、网络监察系统、自助服务终端、排队叫号机、电子显示屏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便民设施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配备休息椅、饮水机、一次性纸杯、办公文具、意见箱、老花镜、便民雨伞、轮椅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配备休息椅、饮水机、一次性纸杯、办公文具、意见箱、老花镜、便民雨伞、轮椅、报纸架、填表台、绿植、无线Wifi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配备休息椅、饮水机、一次性纸杯、办公文具、意见箱、老花镜、便民雨伞、轮椅、报纸架、填表台、绿植、无线 Wifi、母婴室、无障碍设施、固定停车位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事项清单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办理各镇（街道）法定权力事项、公共服务事项和上级部门委托下放事项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办理各镇（街道）法定权力事项、公共服务事项和上级部门委托下放事项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办理各镇（街道）法定权力事项、公共服务事项、上级部门委托下放事项。有条件的，可承接上级部门窗口前移服务事项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网络系统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接通互联网、电子政务外网和业务专网，统一使用山东政务服务平台进行业务受理和办理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接通互联网、电子政务外网和业务专网，统一使用山东政务服务平台进行业务受理和办理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接通互联网、电子政务外网和业务专网，统一使用山东政务服务平台进行业务受理和办理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服务制度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便民服务中心工作制度、首问负责制度、一次性告知制度、帮办代办制度、限时办结制度、考核管理制度、政务公开制度、投诉处理制度、AB岗制度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便民服务中心工作制度、首问负责制度、一次性告知制度、帮办代办制度、限时办结制度、考勤制度、政务公开制度、投诉处理制度、AB 岗制度、预约服务制度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便民服务中心工作制度、首问负责制度、一次性告知制度、帮办代办制度、限时办结制度、考勤制度、政务公开制度、投诉处理制度、AB 岗制度、预约服务制度、提供上门服务制度、绿色通道、延时服务制度、特殊人群服务制度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村（社区）便民服务站（点）建设指导标准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6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855"/>
        <w:gridCol w:w="2177"/>
        <w:gridCol w:w="2177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0" w:hRule="atLeast"/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基础型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标准型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</w:rPr>
              <w:t>标杆型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建设面积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不少于20㎡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不少于50㎡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不少于100㎡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统一标识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业务办理区、休息等待区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业务办理区、休息等待区、综合服务区、服务公开栏（区）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业务办理区、休息等待区、综合服务区、咨询引导区、服务公开区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窗口（坐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席）数量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2个，鼓励开展会客厅式服务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3个及以上，开展会客厅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式服务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人员配备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配备1名兼职工作人员，实行弹性 坐 班制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配备1名专职工作人员和1名兼职工作人员，实行坐班制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明确1名村（社区）两委干部负责便民服务 站（点）工作，配备2名以上专职工作人员，实行坐班制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服务制度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便民服务站（点）工作制度、印章管理制度、帮办代办制度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便民服务站（点）工作制度、印章管理制度、帮办代办制度、AB 岗工作制度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便民服务站（点）工作制度、印章管理制度、帮办代办制度、AB 岗工作制度、干部轮值制度、监督考核制度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网络配置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互联网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互联网、电子政务外网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互联网、电子政务外网、高频事项业务专网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办公设备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电话、电脑、打印机、复印机、办公桌椅、档案柜等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电话、电脑、打印机、复印机、办公桌椅、档案柜、高拍仪（扫描仪）、身份证读取器、自助服务终端、视频监控设备等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电话、电脑、打印机、复印机、办公桌椅、档案柜、高拍仪（扫描仪）、（电子）证照读取器、自助服务终端、视频监控设备、电子监察系统等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便民设施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饮水机、纸杯、纸笔、胶水、剪刀、老花镜、休息座椅等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饮水机、纸杯、纸笔、胶水、剪刀、老花镜、休息座椅、无障碍设施、投诉意见箱等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饮水机、纸杯、纸笔、胶水、剪刀、老花镜、休息座椅、无障碍设施、投诉意见箱、轮椅、无线网络、手机充电、“好差评”评价器等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事项清单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证明出具、代缴收费、社会救助、证件代办等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证明出具、代缴收费、社会救助、证件代办、农业服务等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证明出具、代缴收费、社会救助、证件代办、农业服务、社会事务、劳动就业等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215A"/>
    <w:rsid w:val="056E123E"/>
    <w:rsid w:val="07577FFE"/>
    <w:rsid w:val="07861006"/>
    <w:rsid w:val="087370B9"/>
    <w:rsid w:val="09DE72C7"/>
    <w:rsid w:val="0C047CBF"/>
    <w:rsid w:val="11CD1A08"/>
    <w:rsid w:val="127957A4"/>
    <w:rsid w:val="18040C2B"/>
    <w:rsid w:val="18285A42"/>
    <w:rsid w:val="1A2B6B3B"/>
    <w:rsid w:val="1A330456"/>
    <w:rsid w:val="1E5A27FB"/>
    <w:rsid w:val="26BD3FDF"/>
    <w:rsid w:val="297A2CE5"/>
    <w:rsid w:val="32674CE9"/>
    <w:rsid w:val="33FA7E85"/>
    <w:rsid w:val="359B2C0D"/>
    <w:rsid w:val="3DA46DF1"/>
    <w:rsid w:val="4283791D"/>
    <w:rsid w:val="42EF27E2"/>
    <w:rsid w:val="47CB4836"/>
    <w:rsid w:val="4A687BC3"/>
    <w:rsid w:val="4BF11F43"/>
    <w:rsid w:val="4D4D3040"/>
    <w:rsid w:val="51134562"/>
    <w:rsid w:val="52255215"/>
    <w:rsid w:val="5240509D"/>
    <w:rsid w:val="52504796"/>
    <w:rsid w:val="53E86044"/>
    <w:rsid w:val="54892EFC"/>
    <w:rsid w:val="55663032"/>
    <w:rsid w:val="56E952F2"/>
    <w:rsid w:val="58561B36"/>
    <w:rsid w:val="5980650D"/>
    <w:rsid w:val="63B93146"/>
    <w:rsid w:val="644E18FA"/>
    <w:rsid w:val="65856C59"/>
    <w:rsid w:val="65DD3F68"/>
    <w:rsid w:val="678307AD"/>
    <w:rsid w:val="6CFEE1AE"/>
    <w:rsid w:val="6EA1430B"/>
    <w:rsid w:val="7355215A"/>
    <w:rsid w:val="73F31026"/>
    <w:rsid w:val="73FF8E0A"/>
    <w:rsid w:val="742A7349"/>
    <w:rsid w:val="764C75D5"/>
    <w:rsid w:val="77F57C6E"/>
    <w:rsid w:val="7B0C3B2F"/>
    <w:rsid w:val="7B122ED1"/>
    <w:rsid w:val="7CB4934B"/>
    <w:rsid w:val="BDFF85DF"/>
    <w:rsid w:val="DF7B9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5093</Words>
  <Characters>5158</Characters>
  <Lines>0</Lines>
  <Paragraphs>0</Paragraphs>
  <TotalTime>2</TotalTime>
  <ScaleCrop>false</ScaleCrop>
  <LinksUpToDate>false</LinksUpToDate>
  <CharactersWithSpaces>5197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2021-11-23T22:52:00Z</dcterms:created>
  <dc:creator>lenovo</dc:creator>
  <cp:lastModifiedBy>user</cp:lastModifiedBy>
  <dcterms:modified xsi:type="dcterms:W3CDTF">2021-12-01T15:56:17Z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0035C08E55FC4D8BAE5A6C3155C89ACA</vt:lpwstr>
  </property>
</Properties>
</file>