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8BF9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FF0000"/>
          <w:sz w:val="44"/>
          <w:szCs w:val="44"/>
          <w:lang w:val="en-US" w:eastAsia="zh-CN"/>
        </w:rPr>
      </w:pPr>
    </w:p>
    <w:p w14:paraId="4DDBF7C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val="en-US" w:eastAsia="zh-CN"/>
        </w:rPr>
      </w:pPr>
      <w:r>
        <w:rPr>
          <w:rFonts w:hint="eastAsia" w:eastAsia="方正小标宋简体" w:cs="Times New Roman"/>
          <w:b/>
          <w:bCs/>
          <w:color w:val="auto"/>
          <w:sz w:val="44"/>
          <w:szCs w:val="44"/>
          <w:lang w:val="en-US" w:eastAsia="zh-CN"/>
        </w:rPr>
        <w:t>市中区自然资源局</w:t>
      </w:r>
    </w:p>
    <w:p w14:paraId="543C659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47BB421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B028B8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2021〕30号）和省、市有关工作要求，编制本报告并向社会公开。本年度报告电子版可从市中区人民政府门户网站（http://www.zzszq.gov.cn/）查阅或下载。本报告所列数据的统计期限自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年1月1日起至202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年12月31日止。如对本报告有疑问，可与市中区自然资源局联系（地址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枣庄市市中区振兴南路2号，邮编：277100，电话：0632-75027</w:t>
      </w:r>
      <w:r>
        <w:rPr>
          <w:rFonts w:hint="eastAsia" w:eastAsia="仿宋_GB2312" w:cs="Times New Roman"/>
          <w:color w:val="auto"/>
          <w:sz w:val="32"/>
          <w:szCs w:val="32"/>
          <w:shd w:val="clear" w:color="auto" w:fill="FFFFFF"/>
          <w:lang w:val="en-US" w:eastAsia="zh-CN"/>
        </w:rPr>
        <w:t>10</w:t>
      </w:r>
      <w:r>
        <w:rPr>
          <w:rFonts w:hint="default" w:ascii="Times New Roman" w:hAnsi="Times New Roman" w:eastAsia="仿宋_GB2312" w:cs="Times New Roman"/>
          <w:color w:val="auto"/>
          <w:sz w:val="32"/>
          <w:szCs w:val="32"/>
          <w:shd w:val="clear" w:color="auto" w:fill="FFFFFF"/>
          <w:lang w:eastAsia="zh-CN"/>
        </w:rPr>
        <w:t>，电子邮箱：zzszgtzy@163.com） 。</w:t>
      </w:r>
    </w:p>
    <w:p w14:paraId="7351E8B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1433AA6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w:t>
      </w:r>
      <w:r>
        <w:rPr>
          <w:rFonts w:hint="eastAsia"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lang w:val="en-US" w:eastAsia="zh-CN"/>
        </w:rPr>
        <w:t>年，市中区自然资源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2F20213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10A13FF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bCs/>
          <w:color w:val="auto"/>
          <w:sz w:val="32"/>
          <w:szCs w:val="32"/>
          <w:lang w:val="en-US" w:eastAsia="zh-CN"/>
        </w:rPr>
        <w:t>2025年，我局（镇街）主动公开信息</w:t>
      </w:r>
      <w:r>
        <w:rPr>
          <w:rFonts w:hint="eastAsia" w:ascii="Times New Roman" w:hAnsi="Times New Roman" w:eastAsia="仿宋_GB2312" w:cs="Times New Roman"/>
          <w:bCs/>
          <w:color w:val="auto"/>
          <w:sz w:val="32"/>
          <w:szCs w:val="32"/>
          <w:lang w:val="en-US" w:eastAsia="zh-CN"/>
        </w:rPr>
        <w:t>63</w:t>
      </w:r>
      <w:r>
        <w:rPr>
          <w:rFonts w:hint="default" w:ascii="Times New Roman" w:hAnsi="Times New Roman" w:eastAsia="仿宋_GB2312" w:cs="Times New Roman"/>
          <w:bCs/>
          <w:color w:val="auto"/>
          <w:sz w:val="32"/>
          <w:szCs w:val="32"/>
          <w:lang w:val="en-US" w:eastAsia="zh-CN"/>
        </w:rPr>
        <w:t>条，其中在区政府门户网站公开</w:t>
      </w:r>
      <w:r>
        <w:rPr>
          <w:rFonts w:hint="eastAsia" w:ascii="Times New Roman" w:hAnsi="Times New Roman" w:eastAsia="仿宋_GB2312" w:cs="Times New Roman"/>
          <w:bCs/>
          <w:color w:val="auto"/>
          <w:sz w:val="32"/>
          <w:szCs w:val="32"/>
          <w:lang w:val="en-US" w:eastAsia="zh-CN"/>
        </w:rPr>
        <w:t>63</w:t>
      </w:r>
      <w:r>
        <w:rPr>
          <w:rFonts w:hint="default" w:ascii="Times New Roman" w:hAnsi="Times New Roman" w:eastAsia="仿宋_GB2312" w:cs="Times New Roman"/>
          <w:bCs/>
          <w:color w:val="auto"/>
          <w:sz w:val="32"/>
          <w:szCs w:val="32"/>
          <w:lang w:val="en-US" w:eastAsia="zh-CN"/>
        </w:rPr>
        <w:t>条</w:t>
      </w:r>
      <w:r>
        <w:rPr>
          <w:rFonts w:hint="default" w:ascii="Times New Roman" w:hAnsi="Times New Roman" w:eastAsia="仿宋_GB2312" w:cs="Times New Roman"/>
          <w:bCs/>
          <w:color w:val="auto"/>
          <w:sz w:val="32"/>
          <w:szCs w:val="32"/>
          <w:highlight w:val="none"/>
          <w:lang w:val="en-US" w:eastAsia="zh-CN"/>
        </w:rPr>
        <w:t>，政务新媒体公开0条，其他渠道公开</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lang w:val="en-US" w:eastAsia="zh-CN"/>
        </w:rPr>
        <w:t>条</w:t>
      </w:r>
      <w:r>
        <w:rPr>
          <w:rFonts w:hint="default" w:ascii="Times New Roman" w:hAnsi="Times New Roman" w:eastAsia="仿宋_GB2312" w:cs="Times New Roman"/>
          <w:bCs/>
          <w:color w:val="C00000"/>
          <w:sz w:val="32"/>
          <w:szCs w:val="32"/>
          <w:lang w:val="en-US" w:eastAsia="zh-CN"/>
        </w:rPr>
        <w:t>。</w:t>
      </w:r>
    </w:p>
    <w:p w14:paraId="1754B6B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62E948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做好依申请公开工作，依法保障民众的知情权、参与权、表达权、监督权。202</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val="en-US" w:eastAsia="zh-CN"/>
        </w:rPr>
        <w:t>年共受理政府信息公开申请</w:t>
      </w:r>
      <w:r>
        <w:rPr>
          <w:rFonts w:hint="eastAsia" w:eastAsia="仿宋_GB2312" w:cs="Times New Roman"/>
          <w:bCs/>
          <w:color w:val="auto"/>
          <w:sz w:val="32"/>
          <w:szCs w:val="32"/>
          <w:lang w:val="en-US" w:eastAsia="zh-CN"/>
        </w:rPr>
        <w:t>62</w:t>
      </w:r>
      <w:r>
        <w:rPr>
          <w:rFonts w:hint="default" w:ascii="Times New Roman" w:hAnsi="Times New Roman" w:eastAsia="仿宋_GB2312" w:cs="Times New Roman"/>
          <w:color w:val="auto"/>
          <w:sz w:val="32"/>
          <w:szCs w:val="32"/>
          <w:shd w:val="clear" w:color="auto" w:fill="FFFFFF"/>
          <w:lang w:val="en-US" w:eastAsia="zh-CN"/>
        </w:rPr>
        <w:t>件，涉及土地征收、土地出让等领域。其中予以公开申请</w:t>
      </w:r>
      <w:r>
        <w:rPr>
          <w:rFonts w:hint="eastAsia" w:eastAsia="仿宋_GB2312" w:cs="Times New Roman"/>
          <w:color w:val="auto"/>
          <w:sz w:val="32"/>
          <w:szCs w:val="32"/>
          <w:shd w:val="clear" w:color="auto" w:fill="FFFFFF"/>
          <w:lang w:val="en-US" w:eastAsia="zh-CN"/>
        </w:rPr>
        <w:t>52</w:t>
      </w:r>
      <w:r>
        <w:rPr>
          <w:rFonts w:hint="default" w:ascii="Times New Roman" w:hAnsi="Times New Roman" w:eastAsia="仿宋_GB2312" w:cs="Times New Roman"/>
          <w:color w:val="auto"/>
          <w:sz w:val="32"/>
          <w:szCs w:val="32"/>
          <w:shd w:val="clear" w:color="auto" w:fill="FFFFFF"/>
          <w:lang w:val="en-US" w:eastAsia="zh-CN"/>
        </w:rPr>
        <w:t>件，不予公开</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val="en-US" w:eastAsia="zh-CN"/>
        </w:rPr>
        <w:t>件，无法提供</w:t>
      </w:r>
      <w:r>
        <w:rPr>
          <w:rFonts w:hint="eastAsia" w:eastAsia="仿宋_GB2312" w:cs="Times New Roman"/>
          <w:color w:val="auto"/>
          <w:sz w:val="32"/>
          <w:szCs w:val="32"/>
          <w:shd w:val="clear" w:color="auto" w:fill="FFFFFF"/>
          <w:lang w:val="en-US" w:eastAsia="zh-CN"/>
        </w:rPr>
        <w:t>10</w:t>
      </w:r>
      <w:r>
        <w:rPr>
          <w:rFonts w:hint="default" w:ascii="Times New Roman" w:hAnsi="Times New Roman" w:eastAsia="仿宋_GB2312" w:cs="Times New Roman"/>
          <w:color w:val="auto"/>
          <w:sz w:val="32"/>
          <w:szCs w:val="32"/>
          <w:shd w:val="clear" w:color="auto" w:fill="FFFFFF"/>
          <w:lang w:val="en-US" w:eastAsia="zh-CN"/>
        </w:rPr>
        <w:t>件，不予处理0件，其他</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val="en-US" w:eastAsia="zh-CN"/>
        </w:rPr>
        <w:t>件，均在法定期限内予以答复。</w:t>
      </w:r>
    </w:p>
    <w:p w14:paraId="73C1BB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本年度依申请公开政府信息未收取任何费用。</w:t>
      </w:r>
    </w:p>
    <w:p w14:paraId="20DDC29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因政府信息公开被申请行政复议</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lang w:val="en-US" w:eastAsia="zh-CN"/>
        </w:rPr>
        <w:t>件，因公民、法人和其他组织认为行政机关政府信息公开工作具体行政行为侵犯其合法权益，提起行政诉讼</w:t>
      </w:r>
      <w:r>
        <w:rPr>
          <w:rFonts w:hint="eastAsia"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lang w:val="en-US" w:eastAsia="zh-CN"/>
        </w:rPr>
        <w:t>件。</w:t>
      </w:r>
    </w:p>
    <w:p w14:paraId="6A24635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FE574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一是结合自然资源部门工作实际，优化完善自然资源部门信息公开管理流程。对涉及优化营商环境、国土空间规划、土地征收、土地出让、自然资源执法等方面的信息，按照区政务公开办要求，及时进行信息公开，做好政府网站信息公开年度报表统计工作，提升政府信息公开水平。</w:t>
      </w:r>
    </w:p>
    <w:p w14:paraId="61A8F51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Cs/>
          <w:color w:val="auto"/>
          <w:sz w:val="32"/>
          <w:szCs w:val="32"/>
          <w:lang w:val="en-US"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5DA3F7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34132F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积极开展对外宣传工作。今年以来，我局对上对外报送宣传信息141篇，其中：市自然资源和规划局采用12篇，市委办采用3篇，省委办采用1篇，以耕地保护、营商环境优化、动物保护为题在枣庄日报刊登3篇，以全国测绘日宣传为主题在中国自然资源报刊登1篇。召开国土空间规划专题新闻发布会1次，参加优化营商环境新闻发布会1次。</w:t>
      </w:r>
    </w:p>
    <w:p w14:paraId="6E8CE5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021A521C">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市中区自然资源局采取了“任务拆分、定期提醒、统一汇总、多层审核”的工作方法。为保障政府信息公开工作的时效性，由局办公室</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（法规与信访）</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负责将涉及内容较多的申请拆分，分别派送到各股室查询整理，并按照补正期限、回复期限分别提醒各股室及时处理依申请信息公开件。为保障政府信息公开工作的有效性，对各股室整理出的公开内容逐层审核，确保公开信息准确无误。</w:t>
      </w:r>
    </w:p>
    <w:p w14:paraId="2D530D51">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二、</w:t>
      </w:r>
      <w:r>
        <w:rPr>
          <w:rFonts w:hint="default" w:ascii="Times New Roman" w:hAnsi="Times New Roman" w:eastAsia="黑体" w:cs="Times New Roman"/>
          <w:bCs/>
          <w:color w:val="auto"/>
          <w:sz w:val="32"/>
          <w:szCs w:val="32"/>
          <w:highlight w:val="none"/>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3C44057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8EC717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13145E5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C57E13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796F2EF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03CBE7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BAE775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6068BC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E5391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0E77E14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0A9EA4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r>
              <w:rPr>
                <w:rFonts w:hint="default" w:ascii="Times New Roman" w:hAnsi="Times New Roman" w:eastAsia="仿宋_GB2312" w:cs="Times New Roman"/>
                <w:color w:val="000000"/>
                <w:kern w:val="0"/>
                <w:szCs w:val="21"/>
              </w:rPr>
              <w:t>　</w:t>
            </w:r>
          </w:p>
        </w:tc>
        <w:tc>
          <w:tcPr>
            <w:tcW w:w="2206" w:type="dxa"/>
            <w:tcBorders>
              <w:top w:val="nil"/>
              <w:left w:val="nil"/>
              <w:bottom w:val="single" w:color="auto" w:sz="8" w:space="0"/>
              <w:right w:val="single" w:color="auto" w:sz="8" w:space="0"/>
            </w:tcBorders>
            <w:shd w:val="clear" w:color="auto" w:fill="auto"/>
            <w:vAlign w:val="center"/>
          </w:tcPr>
          <w:p w14:paraId="144D7CB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77B65B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58EF09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2CD7CB3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2076A5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eastAsia" w:eastAsia="仿宋_GB2312" w:cs="Times New Roman"/>
                <w:color w:val="000000"/>
                <w:kern w:val="0"/>
                <w:szCs w:val="21"/>
                <w:lang w:val="en-US" w:eastAsia="zh-CN"/>
              </w:rPr>
              <w:t>0</w:t>
            </w:r>
            <w:r>
              <w:rPr>
                <w:rFonts w:hint="default" w:ascii="Times New Roman" w:hAnsi="Times New Roman" w:eastAsia="仿宋_GB2312" w:cs="Times New Roman"/>
                <w:color w:val="000000"/>
                <w:kern w:val="0"/>
                <w:szCs w:val="21"/>
              </w:rPr>
              <w:t> 　</w:t>
            </w:r>
          </w:p>
        </w:tc>
        <w:tc>
          <w:tcPr>
            <w:tcW w:w="2206" w:type="dxa"/>
            <w:tcBorders>
              <w:top w:val="nil"/>
              <w:left w:val="nil"/>
              <w:bottom w:val="single" w:color="auto" w:sz="8" w:space="0"/>
              <w:right w:val="single" w:color="auto" w:sz="8" w:space="0"/>
            </w:tcBorders>
            <w:shd w:val="clear" w:color="auto" w:fill="auto"/>
            <w:vAlign w:val="center"/>
          </w:tcPr>
          <w:p w14:paraId="2B6BC0C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 xml:space="preserve">  0</w:t>
            </w:r>
          </w:p>
        </w:tc>
      </w:tr>
      <w:tr w14:paraId="5C0EB36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2A05A3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06DA352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0CEE8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04B96C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313E53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6F80C1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4903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55</w:t>
            </w:r>
          </w:p>
        </w:tc>
      </w:tr>
      <w:tr w14:paraId="5775276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CCFCAD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1F69B8E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58E0EF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70C051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BF9114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4408D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026007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16</w:t>
            </w:r>
          </w:p>
        </w:tc>
      </w:tr>
      <w:tr w14:paraId="35D7F36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EB8DBC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B24BE8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CCBE3C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38CE27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1F8CB7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43052F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A8E5E5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DBEC36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DCB493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9B3227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6FE3AB71">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1CE4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tblHeader/>
          <w:jc w:val="center"/>
        </w:trPr>
        <w:tc>
          <w:tcPr>
            <w:tcW w:w="2514" w:type="dxa"/>
            <w:gridSpan w:val="3"/>
            <w:vMerge w:val="restart"/>
            <w:shd w:val="clear" w:color="auto" w:fill="auto"/>
            <w:tcMar>
              <w:left w:w="108" w:type="dxa"/>
              <w:right w:w="108" w:type="dxa"/>
            </w:tcMar>
            <w:vAlign w:val="center"/>
          </w:tcPr>
          <w:p w14:paraId="27C340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605A43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1A767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D3A730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1B41E1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1172C9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203158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873C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427B55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5A6890E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1E0DDD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0F68FA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11C29A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049B02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5AA56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10197D0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C566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4B6861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1D230B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60</w:t>
            </w:r>
          </w:p>
        </w:tc>
        <w:tc>
          <w:tcPr>
            <w:tcW w:w="690" w:type="dxa"/>
            <w:shd w:val="clear" w:color="auto" w:fill="auto"/>
            <w:tcMar>
              <w:left w:w="108" w:type="dxa"/>
              <w:right w:w="108" w:type="dxa"/>
            </w:tcMar>
            <w:vAlign w:val="center"/>
          </w:tcPr>
          <w:p w14:paraId="48362A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2</w:t>
            </w:r>
          </w:p>
        </w:tc>
        <w:tc>
          <w:tcPr>
            <w:tcW w:w="690" w:type="dxa"/>
            <w:shd w:val="clear" w:color="auto" w:fill="auto"/>
            <w:tcMar>
              <w:left w:w="108" w:type="dxa"/>
              <w:right w:w="108" w:type="dxa"/>
            </w:tcMar>
            <w:vAlign w:val="center"/>
          </w:tcPr>
          <w:p w14:paraId="0D0F0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54F8D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9009F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7B43D9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1FFB8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62</w:t>
            </w:r>
          </w:p>
        </w:tc>
      </w:tr>
      <w:tr w14:paraId="6414A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41EBB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527C63A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38E70B9">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019088F4">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9FAA79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40FC927A">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57AD004F">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4018E69">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3FC4C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181599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6BC3B3F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402D325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50</w:t>
            </w:r>
          </w:p>
        </w:tc>
        <w:tc>
          <w:tcPr>
            <w:tcW w:w="690" w:type="dxa"/>
            <w:shd w:val="clear" w:color="auto" w:fill="auto"/>
            <w:tcMar>
              <w:left w:w="108" w:type="dxa"/>
              <w:right w:w="108" w:type="dxa"/>
            </w:tcMar>
            <w:vAlign w:val="center"/>
          </w:tcPr>
          <w:p w14:paraId="35E7C66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eastAsia="仿宋_GB2312" w:cs="Times New Roman"/>
                <w:color w:val="auto"/>
                <w:kern w:val="2"/>
                <w:sz w:val="21"/>
                <w:szCs w:val="21"/>
                <w:highlight w:val="none"/>
                <w:lang w:val="en-US" w:eastAsia="zh-CN" w:bidi="ar-SA"/>
              </w:rPr>
              <w:t>2</w:t>
            </w:r>
          </w:p>
        </w:tc>
        <w:tc>
          <w:tcPr>
            <w:tcW w:w="690" w:type="dxa"/>
            <w:shd w:val="clear" w:color="auto" w:fill="auto"/>
            <w:tcMar>
              <w:left w:w="108" w:type="dxa"/>
              <w:right w:w="108" w:type="dxa"/>
            </w:tcMar>
            <w:vAlign w:val="center"/>
          </w:tcPr>
          <w:p w14:paraId="6F7EE212">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4B8785D">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73DD5D3E">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85050DE">
            <w:pPr>
              <w:keepNext w:val="0"/>
              <w:keepLines w:val="0"/>
              <w:pageBreakBefore w:val="0"/>
              <w:widowControl w:val="0"/>
              <w:kinsoku/>
              <w:wordWrap/>
              <w:overflowPunct/>
              <w:topLinePunct w:val="0"/>
              <w:autoSpaceDE/>
              <w:autoSpaceDN/>
              <w:bidi w:val="0"/>
              <w:adjustRightInd/>
              <w:snapToGrid w:val="0"/>
              <w:spacing w:after="180"/>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6CC706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52</w:t>
            </w:r>
          </w:p>
        </w:tc>
      </w:tr>
      <w:tr w14:paraId="0D5FC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5DBA10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156CED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58D122D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BB4AC7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2C064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50EF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46A2B9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03839F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6DBFF6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2DCF8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9BC03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4C50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39E5E7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56CCD8C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65248E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BB62DC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7995B3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2B8822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778E24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094B32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67856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7FAC9B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9F7855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D6B09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013ACD5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F89EF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E507B2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1DE8AF5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08F6B1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2F1E0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273575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78CCE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C00B0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39F0D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60904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257B5A3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45CF4F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665128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BF0A96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FDBA1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6F6A880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82C72A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818F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646BFC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95A2A3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F369F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64F39D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97AE6D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D5D62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7D8252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9083BC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D2C8C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3A3CEB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F7FB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F4A418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A253C2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893B7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48B99E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E1D94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26193A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D452ED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97FE3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1FF2E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2B2E27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7E2ED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71951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4CB8D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B8495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7AB6AD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7F0E7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7EEBF5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620D5B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616452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B9AC2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6499EF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47D11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F900A9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98C166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CE9BD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29A3D3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6A0F9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081E8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510B1B4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0866F46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0A016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6573B8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748A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09884D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49215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A8E52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211661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9C6EC2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07E884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31B6A1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0EA4E5C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665FF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C4B1C5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6FBE7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B087A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2A5BD3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06D644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7B6A0B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10</w:t>
            </w:r>
          </w:p>
        </w:tc>
        <w:tc>
          <w:tcPr>
            <w:tcW w:w="690" w:type="dxa"/>
            <w:shd w:val="clear" w:color="auto" w:fill="auto"/>
            <w:tcMar>
              <w:left w:w="108" w:type="dxa"/>
              <w:right w:w="108" w:type="dxa"/>
            </w:tcMar>
            <w:vAlign w:val="center"/>
          </w:tcPr>
          <w:p w14:paraId="208525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01882E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EE0E9E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2C79F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6DBFE8D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3CD616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10</w:t>
            </w:r>
          </w:p>
        </w:tc>
      </w:tr>
      <w:tr w14:paraId="05B28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08F87B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4ACBA9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A6A0B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65A6DE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92B74F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64FED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56B415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BC8D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92724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911A7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18020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30A48E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3F69A8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7BCEB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60689EE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9551B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8DB9C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CEA06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2780E3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5A282CB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31F8326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1762C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2F716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27A763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4AAEC9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6DB9647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78EE1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241C80E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3135569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23673FE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DF56A8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A37EB8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047EF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632B84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6C6051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50BE9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379FD82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85342F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56B8C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6D0B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1995E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0E9CC4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0C1CFB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0F5D3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2E1F0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2E624A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D2C06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49DC3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79090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185C5A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621828E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61360E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26EC45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B6F98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26EC7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BF5CBD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0792F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DEDE2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5E4A479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8D9CA1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3158F4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0A3E50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D0784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33097F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D25F8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543A8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6472BE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DAB87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6B9C5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056D4B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19C4C9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65545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08FACB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22C20B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57CA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29AD31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11F8E3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44276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154A9C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A23CE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45FEBD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4147A50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D64FD9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310B26E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F016D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1EDBF9C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495F47C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497C733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4EF32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6BC837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DBDF6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71779A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516DD7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55487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442034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4CEBDD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5C23ED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316F65A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41A48D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3A338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0E117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16980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5CF78B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4B5A9D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61541EA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690" w:type="dxa"/>
            <w:shd w:val="clear" w:color="auto" w:fill="auto"/>
            <w:tcMar>
              <w:left w:w="108" w:type="dxa"/>
              <w:right w:w="108" w:type="dxa"/>
            </w:tcMar>
            <w:vAlign w:val="center"/>
          </w:tcPr>
          <w:p w14:paraId="5B3280C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895" w:type="dxa"/>
            <w:shd w:val="clear" w:color="auto" w:fill="auto"/>
            <w:tcMar>
              <w:left w:w="108" w:type="dxa"/>
              <w:right w:w="108" w:type="dxa"/>
            </w:tcMar>
            <w:vAlign w:val="center"/>
          </w:tcPr>
          <w:p w14:paraId="67145D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724" w:type="dxa"/>
            <w:shd w:val="clear" w:color="auto" w:fill="auto"/>
            <w:tcMar>
              <w:left w:w="108" w:type="dxa"/>
              <w:right w:w="108" w:type="dxa"/>
            </w:tcMar>
            <w:vAlign w:val="center"/>
          </w:tcPr>
          <w:p w14:paraId="3FEF3B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89" w:type="dxa"/>
            <w:shd w:val="clear" w:color="auto" w:fill="auto"/>
            <w:tcMar>
              <w:left w:w="108" w:type="dxa"/>
              <w:right w:w="108" w:type="dxa"/>
            </w:tcMar>
            <w:vAlign w:val="center"/>
          </w:tcPr>
          <w:p w14:paraId="18BD1E3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c>
          <w:tcPr>
            <w:tcW w:w="491" w:type="dxa"/>
            <w:shd w:val="clear" w:color="auto" w:fill="auto"/>
            <w:tcMar>
              <w:left w:w="108" w:type="dxa"/>
              <w:right w:w="108" w:type="dxa"/>
            </w:tcMar>
            <w:vAlign w:val="center"/>
          </w:tcPr>
          <w:p w14:paraId="238E1B7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color w:val="auto"/>
                <w:kern w:val="2"/>
                <w:sz w:val="21"/>
                <w:szCs w:val="21"/>
                <w:highlight w:val="none"/>
                <w:lang w:val="en-US" w:eastAsia="zh-CN" w:bidi="ar-SA"/>
              </w:rPr>
              <w:t>0</w:t>
            </w:r>
          </w:p>
        </w:tc>
      </w:tr>
      <w:tr w14:paraId="37C90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6D455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437004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4F6A3F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60</w:t>
            </w:r>
          </w:p>
        </w:tc>
        <w:tc>
          <w:tcPr>
            <w:tcW w:w="690" w:type="dxa"/>
            <w:shd w:val="clear" w:color="auto" w:fill="auto"/>
            <w:tcMar>
              <w:left w:w="108" w:type="dxa"/>
              <w:right w:w="108" w:type="dxa"/>
            </w:tcMar>
            <w:vAlign w:val="center"/>
          </w:tcPr>
          <w:p w14:paraId="5FA68C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2</w:t>
            </w:r>
          </w:p>
        </w:tc>
        <w:tc>
          <w:tcPr>
            <w:tcW w:w="690" w:type="dxa"/>
            <w:shd w:val="clear" w:color="auto" w:fill="auto"/>
            <w:tcMar>
              <w:left w:w="108" w:type="dxa"/>
              <w:right w:w="108" w:type="dxa"/>
            </w:tcMar>
            <w:vAlign w:val="center"/>
          </w:tcPr>
          <w:p w14:paraId="5444C6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759961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052E24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7175FC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22276B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62</w:t>
            </w:r>
          </w:p>
        </w:tc>
      </w:tr>
      <w:tr w14:paraId="473D7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70DBC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3413678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3874A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1909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35F63F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7B1451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2E89ED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72A50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bl>
    <w:p w14:paraId="38AD501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highlight w:val="yellow"/>
        </w:rPr>
      </w:pPr>
      <w:r>
        <w:rPr>
          <w:rFonts w:hint="default" w:ascii="Times New Roman" w:hAnsi="Times New Roman" w:eastAsia="黑体" w:cs="Times New Roman"/>
          <w:bCs/>
          <w:color w:val="auto"/>
          <w:sz w:val="32"/>
          <w:szCs w:val="32"/>
          <w:highlight w:val="none"/>
          <w:lang w:val="en-US" w:eastAsia="zh-CN"/>
        </w:rPr>
        <w:t>四、</w:t>
      </w:r>
      <w:r>
        <w:rPr>
          <w:rFonts w:hint="default" w:ascii="Times New Roman" w:hAnsi="Times New Roman" w:eastAsia="黑体" w:cs="Times New Roman"/>
          <w:bCs/>
          <w:color w:val="auto"/>
          <w:sz w:val="32"/>
          <w:szCs w:val="32"/>
          <w:highlight w:val="none"/>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BBAD050">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33E02E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43E80E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0E7C6BA">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3A00655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6EE0C4C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5D4B7F65">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6A6BD70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314BD32C">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5707DAE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6245F960">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5B38024A">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0458B66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45D0268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48BE455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4746B79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53C8DEE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58510E3C">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514E1A7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1CD79CFE">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364DFE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7CE328DC">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289F467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5F545EC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52481AA4">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784F69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0E23213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1B3D6C0B">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5F1D7F2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2</w:t>
            </w:r>
          </w:p>
        </w:tc>
        <w:tc>
          <w:tcPr>
            <w:tcW w:w="329" w:type="pct"/>
            <w:tcBorders>
              <w:top w:val="single" w:color="auto" w:sz="4" w:space="0"/>
              <w:left w:val="single" w:color="auto" w:sz="4" w:space="0"/>
              <w:bottom w:val="single" w:color="auto" w:sz="4" w:space="0"/>
            </w:tcBorders>
            <w:shd w:val="clear" w:color="auto" w:fill="FFFFFF"/>
            <w:vAlign w:val="center"/>
          </w:tcPr>
          <w:p w14:paraId="06B96DA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338E0F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tcBorders>
            <w:shd w:val="clear" w:color="auto" w:fill="FFFFFF"/>
            <w:vAlign w:val="center"/>
          </w:tcPr>
          <w:p w14:paraId="19AFB5E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1480239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3</w:t>
            </w:r>
          </w:p>
        </w:tc>
        <w:tc>
          <w:tcPr>
            <w:tcW w:w="329" w:type="pct"/>
            <w:tcBorders>
              <w:top w:val="single" w:color="auto" w:sz="4" w:space="0"/>
              <w:left w:val="single" w:color="auto" w:sz="4" w:space="0"/>
              <w:bottom w:val="single" w:color="auto" w:sz="4" w:space="0"/>
            </w:tcBorders>
            <w:shd w:val="clear" w:color="auto" w:fill="FFFFFF"/>
            <w:vAlign w:val="center"/>
          </w:tcPr>
          <w:p w14:paraId="753C178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tcBorders>
            <w:shd w:val="clear" w:color="auto" w:fill="FFFFFF"/>
            <w:vAlign w:val="center"/>
          </w:tcPr>
          <w:p w14:paraId="51778A2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896C6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40123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0777D4A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tcBorders>
            <w:shd w:val="clear" w:color="auto" w:fill="FFFFFF"/>
            <w:vAlign w:val="center"/>
          </w:tcPr>
          <w:p w14:paraId="065755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18EBCCA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B9DB39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972818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32E3F1E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0C11D9F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7F3C5F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w:t>
      </w:r>
      <w:r>
        <w:rPr>
          <w:rFonts w:hint="eastAsia" w:eastAsia="黑体" w:cs="Times New Roman"/>
          <w:color w:val="auto"/>
          <w:sz w:val="32"/>
          <w:szCs w:val="32"/>
          <w:lang w:val="en-US" w:eastAsia="zh-CN" w:bidi="ar-SA"/>
        </w:rPr>
        <w:t>4</w:t>
      </w:r>
      <w:r>
        <w:rPr>
          <w:rFonts w:hint="default" w:ascii="Times New Roman" w:hAnsi="Times New Roman" w:eastAsia="黑体" w:cs="Times New Roman"/>
          <w:color w:val="auto"/>
          <w:sz w:val="32"/>
          <w:szCs w:val="32"/>
          <w:lang w:val="en-US" w:eastAsia="zh-CN" w:bidi="ar-SA"/>
        </w:rPr>
        <w:t>年存在问题整改情况</w:t>
      </w:r>
    </w:p>
    <w:p w14:paraId="35D54F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针对2024年存在的问题，市中区自然资源局将从以下两方面推进整改落实：一是调整依申请公开办理机制，改由局政策法规与信访股负责依申请公开的统一受理、流程跟进、协调汇总与答复工作，以提升信息公开回复的规范性和时效性；二是组织开展信息公开工作人员专项业务能力培训，重点加强政策理解、程序规范和实务操作等方面的专业训练，着力提升队伍履职能力。</w:t>
      </w:r>
    </w:p>
    <w:p w14:paraId="6333DD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45A4FD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color w:val="000000" w:themeColor="text1"/>
          <w:sz w:val="32"/>
          <w:szCs w:val="32"/>
          <w:lang w:val="en-US" w:eastAsia="zh-CN" w:bidi="ar-SA"/>
          <w14:textFill>
            <w14:solidFill>
              <w14:schemeClr w14:val="tx1"/>
            </w14:solidFill>
          </w14:textFill>
        </w:rPr>
      </w:pPr>
      <w:r>
        <w:rPr>
          <w:rFonts w:hint="default" w:eastAsia="仿宋_GB2312" w:cs="Times New Roman"/>
          <w:color w:val="000000" w:themeColor="text1"/>
          <w:sz w:val="32"/>
          <w:szCs w:val="32"/>
          <w:lang w:val="en-US" w:eastAsia="zh-CN" w:bidi="ar-SA"/>
          <w14:textFill>
            <w14:solidFill>
              <w14:schemeClr w14:val="tx1"/>
            </w14:solidFill>
          </w14:textFill>
        </w:rPr>
        <w:t>2025年</w:t>
      </w:r>
      <w:r>
        <w:rPr>
          <w:rFonts w:hint="eastAsia" w:eastAsia="仿宋_GB2312" w:cs="Times New Roman"/>
          <w:color w:val="000000" w:themeColor="text1"/>
          <w:sz w:val="32"/>
          <w:szCs w:val="32"/>
          <w:lang w:val="en-US" w:eastAsia="zh-CN" w:bidi="ar-SA"/>
          <w14:textFill>
            <w14:solidFill>
              <w14:schemeClr w14:val="tx1"/>
            </w14:solidFill>
          </w14:textFill>
        </w:rPr>
        <w:t>度</w:t>
      </w:r>
      <w:r>
        <w:rPr>
          <w:rFonts w:hint="default" w:eastAsia="仿宋_GB2312" w:cs="Times New Roman"/>
          <w:color w:val="000000" w:themeColor="text1"/>
          <w:sz w:val="32"/>
          <w:szCs w:val="32"/>
          <w:lang w:val="en-US" w:eastAsia="zh-CN" w:bidi="ar-SA"/>
          <w14:textFill>
            <w14:solidFill>
              <w14:schemeClr w14:val="tx1"/>
            </w14:solidFill>
          </w14:textFill>
        </w:rPr>
        <w:t>市中区自然资源局政府信息公开工作保持有序运行，流程规范、落实到位。但还存在公开信息速度较慢、负责公开信息人员专业业务能力弱等问题。</w:t>
      </w:r>
    </w:p>
    <w:p w14:paraId="423E4CC0">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改进措施</w:t>
      </w:r>
      <w:r>
        <w:rPr>
          <w:rFonts w:hint="default" w:ascii="Times New Roman" w:hAnsi="Times New Roman" w:eastAsia="仿宋_GB2312" w:cs="Times New Roman"/>
          <w:b/>
          <w:bCs/>
          <w:color w:val="auto"/>
          <w:sz w:val="32"/>
          <w:szCs w:val="32"/>
          <w:lang w:eastAsia="zh-CN" w:bidi="ar-SA"/>
        </w:rPr>
        <w:t>　</w:t>
      </w:r>
    </w:p>
    <w:p w14:paraId="0E9A930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color w:val="000000" w:themeColor="text1"/>
          <w:sz w:val="32"/>
          <w:szCs w:val="32"/>
          <w:lang w:val="en-US" w:eastAsia="zh-CN" w:bidi="ar-SA"/>
          <w14:textFill>
            <w14:solidFill>
              <w14:schemeClr w14:val="tx1"/>
            </w14:solidFill>
          </w14:textFill>
        </w:rPr>
      </w:pPr>
      <w:r>
        <w:rPr>
          <w:rFonts w:hint="default" w:eastAsia="仿宋_GB2312" w:cs="Times New Roman"/>
          <w:color w:val="000000" w:themeColor="text1"/>
          <w:sz w:val="32"/>
          <w:szCs w:val="32"/>
          <w:lang w:val="en-US" w:eastAsia="zh-CN" w:bidi="ar-SA"/>
          <w14:textFill>
            <w14:solidFill>
              <w14:schemeClr w14:val="tx1"/>
            </w14:solidFill>
          </w14:textFill>
        </w:rPr>
        <w:t>一是全面优化</w:t>
      </w:r>
      <w:r>
        <w:rPr>
          <w:rFonts w:hint="eastAsia" w:eastAsia="仿宋_GB2312" w:cs="Times New Roman"/>
          <w:color w:val="000000" w:themeColor="text1"/>
          <w:sz w:val="32"/>
          <w:szCs w:val="32"/>
          <w:lang w:val="en-US" w:eastAsia="zh-CN" w:bidi="ar-SA"/>
          <w14:textFill>
            <w14:solidFill>
              <w14:schemeClr w14:val="tx1"/>
            </w14:solidFill>
          </w14:textFill>
        </w:rPr>
        <w:t>被申请公开</w:t>
      </w:r>
      <w:r>
        <w:rPr>
          <w:rFonts w:hint="default" w:eastAsia="仿宋_GB2312" w:cs="Times New Roman"/>
          <w:color w:val="000000" w:themeColor="text1"/>
          <w:sz w:val="32"/>
          <w:szCs w:val="32"/>
          <w:lang w:val="en-US" w:eastAsia="zh-CN" w:bidi="ar-SA"/>
          <w14:textFill>
            <w14:solidFill>
              <w14:schemeClr w14:val="tx1"/>
            </w14:solidFill>
          </w14:textFill>
        </w:rPr>
        <w:t>信息流转</w:t>
      </w:r>
      <w:r>
        <w:rPr>
          <w:rFonts w:hint="eastAsia" w:eastAsia="仿宋_GB2312" w:cs="Times New Roman"/>
          <w:color w:val="000000" w:themeColor="text1"/>
          <w:sz w:val="32"/>
          <w:szCs w:val="32"/>
          <w:lang w:val="en-US" w:eastAsia="zh-CN" w:bidi="ar-SA"/>
          <w14:textFill>
            <w14:solidFill>
              <w14:schemeClr w14:val="tx1"/>
            </w14:solidFill>
          </w14:textFill>
        </w:rPr>
        <w:t>、</w:t>
      </w:r>
      <w:r>
        <w:rPr>
          <w:rFonts w:hint="default" w:eastAsia="仿宋_GB2312" w:cs="Times New Roman"/>
          <w:color w:val="000000" w:themeColor="text1"/>
          <w:sz w:val="32"/>
          <w:szCs w:val="32"/>
          <w:lang w:val="en-US" w:eastAsia="zh-CN" w:bidi="ar-SA"/>
          <w14:textFill>
            <w14:solidFill>
              <w14:schemeClr w14:val="tx1"/>
            </w14:solidFill>
          </w14:textFill>
        </w:rPr>
        <w:t>审核</w:t>
      </w:r>
      <w:r>
        <w:rPr>
          <w:rFonts w:hint="eastAsia" w:eastAsia="仿宋_GB2312" w:cs="Times New Roman"/>
          <w:color w:val="000000" w:themeColor="text1"/>
          <w:sz w:val="32"/>
          <w:szCs w:val="32"/>
          <w:lang w:val="en-US" w:eastAsia="zh-CN" w:bidi="ar-SA"/>
          <w14:textFill>
            <w14:solidFill>
              <w14:schemeClr w14:val="tx1"/>
            </w14:solidFill>
          </w14:textFill>
        </w:rPr>
        <w:t>与告知</w:t>
      </w:r>
      <w:r>
        <w:rPr>
          <w:rFonts w:hint="default" w:eastAsia="仿宋_GB2312" w:cs="Times New Roman"/>
          <w:color w:val="000000" w:themeColor="text1"/>
          <w:sz w:val="32"/>
          <w:szCs w:val="32"/>
          <w:lang w:val="en-US" w:eastAsia="zh-CN" w:bidi="ar-SA"/>
          <w14:textFill>
            <w14:solidFill>
              <w14:schemeClr w14:val="tx1"/>
            </w14:solidFill>
          </w14:textFill>
        </w:rPr>
        <w:t>流程，明确各环节时限要求，着力提升公开时效；二是通过定期培训、实战指导和经验交流，切实增强工作人员的专业素养与操作水平。</w:t>
      </w:r>
    </w:p>
    <w:p w14:paraId="39BF6F2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eastAsia="黑体"/>
          <w:color w:val="auto"/>
          <w:sz w:val="32"/>
          <w:szCs w:val="32"/>
          <w:lang w:eastAsia="zh-CN" w:bidi="zh-TW"/>
        </w:rPr>
      </w:pPr>
      <w:r>
        <w:rPr>
          <w:rFonts w:hint="eastAsia" w:eastAsia="黑体"/>
          <w:color w:val="auto"/>
          <w:sz w:val="32"/>
          <w:szCs w:val="32"/>
          <w:lang w:val="en-US" w:eastAsia="zh-CN" w:bidi="zh-TW"/>
        </w:rPr>
        <w:t>六、</w:t>
      </w:r>
      <w:r>
        <w:rPr>
          <w:rFonts w:eastAsia="黑体"/>
          <w:color w:val="auto"/>
          <w:sz w:val="32"/>
          <w:szCs w:val="32"/>
          <w:lang w:eastAsia="zh-CN" w:bidi="zh-TW"/>
        </w:rPr>
        <w:t>其他需要报告的事项</w:t>
      </w:r>
    </w:p>
    <w:p w14:paraId="5620C4F2">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val="en-US" w:eastAsia="zh-CN"/>
        </w:rPr>
        <w:t>（一）收取信息处理费的情况</w:t>
      </w:r>
    </w:p>
    <w:p w14:paraId="5024A2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FF0000"/>
          <w:sz w:val="32"/>
          <w:szCs w:val="32"/>
          <w:lang w:eastAsia="zh-CN"/>
        </w:rPr>
      </w:pPr>
      <w:r>
        <w:rPr>
          <w:rFonts w:hint="eastAsia" w:eastAsia="仿宋_GB2312"/>
          <w:color w:val="auto"/>
          <w:sz w:val="32"/>
          <w:szCs w:val="32"/>
          <w:lang w:val="en-US" w:eastAsia="zh-CN"/>
        </w:rPr>
        <w:t>本年度依申请公开政府信息未收取任何费用。</w:t>
      </w:r>
    </w:p>
    <w:p w14:paraId="7F0171B7">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落实上级年度政务公开工作要点情况</w:t>
      </w:r>
    </w:p>
    <w:p w14:paraId="44CC37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2025年，市中区自然资源局严格按照上级年度政务公开工作要点，积极研究安排落实措施，结合本单位实际，明确责任分工，积极推动政府信息公开工作严格执行。</w:t>
      </w:r>
    </w:p>
    <w:p w14:paraId="112CA28A">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人大代表建议和政协委员提案办理情况</w:t>
      </w:r>
    </w:p>
    <w:p w14:paraId="5AA5D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highlight w:val="none"/>
          <w:shd w:val="clear" w:color="auto" w:fill="FFFFFF"/>
          <w:lang w:eastAsia="zh-CN"/>
        </w:rPr>
      </w:pPr>
      <w:r>
        <w:rPr>
          <w:rFonts w:hint="eastAsia"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年，市中区自然资源局共承办区级人大代表建议</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件，办复率 100%；承办区政协委员提案</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件，办复率 100%。</w:t>
      </w:r>
    </w:p>
    <w:p w14:paraId="4545AAA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b/>
          <w:bCs/>
          <w:color w:val="auto"/>
          <w:sz w:val="32"/>
          <w:szCs w:val="32"/>
          <w:shd w:val="clear" w:color="auto" w:fill="FFFFFF"/>
          <w:lang w:val="en-US" w:eastAsia="zh-CN"/>
        </w:rPr>
      </w:pPr>
      <w:r>
        <w:rPr>
          <w:rFonts w:eastAsia="仿宋_GB2312"/>
          <w:color w:val="auto"/>
          <w:sz w:val="32"/>
          <w:szCs w:val="32"/>
          <w:shd w:val="clear" w:color="auto" w:fill="FFFFFF"/>
          <w:lang w:eastAsia="zh-CN"/>
        </w:rPr>
        <w:t>本报告所列数据的统计时限自202</w:t>
      </w:r>
      <w:r>
        <w:rPr>
          <w:rFonts w:hint="eastAsia" w:eastAsia="仿宋_GB2312"/>
          <w:color w:val="auto"/>
          <w:sz w:val="32"/>
          <w:szCs w:val="32"/>
          <w:shd w:val="clear" w:color="auto" w:fill="FFFFFF"/>
          <w:lang w:val="en-US" w:eastAsia="zh-CN"/>
        </w:rPr>
        <w:t>5</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5</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eastAsia="zh-CN"/>
        </w:rPr>
        <w:t>枣庄市</w:t>
      </w:r>
      <w:r>
        <w:rPr>
          <w:rFonts w:hint="eastAsia" w:eastAsia="仿宋_GB2312"/>
          <w:color w:val="auto"/>
          <w:sz w:val="32"/>
          <w:szCs w:val="32"/>
          <w:shd w:val="clear" w:color="auto" w:fill="FFFFFF"/>
          <w:lang w:val="en-US" w:eastAsia="zh-CN"/>
        </w:rPr>
        <w:t>市中区自然资源局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枣庄市市中区振兴南路2号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w:t>
      </w:r>
      <w:r>
        <w:rPr>
          <w:rFonts w:hint="eastAsia" w:eastAsia="仿宋_GB2312"/>
          <w:color w:val="auto"/>
          <w:sz w:val="32"/>
          <w:szCs w:val="32"/>
          <w:lang w:val="en-US" w:eastAsia="zh-CN"/>
        </w:rPr>
        <w:t>7502710</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：zzszgtzy@163.com</w:t>
      </w:r>
      <w:r>
        <w:rPr>
          <w:rFonts w:eastAsia="仿宋_GB2312"/>
          <w:color w:val="auto"/>
          <w:sz w:val="32"/>
          <w:szCs w:val="32"/>
          <w:shd w:val="clear" w:color="auto" w:fill="FFFFFF"/>
          <w:lang w:eastAsia="zh-CN"/>
        </w:rPr>
        <w:t>） 。</w:t>
      </w:r>
    </w:p>
    <w:p w14:paraId="34E6061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4277382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5A830257">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59695E7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ascii="Times New Roman" w:hAnsi="Times New Roman" w:eastAsia="仿宋_GB2312" w:cs="Times New Roman"/>
          <w:b/>
          <w:bCs/>
          <w:color w:val="auto"/>
          <w:sz w:val="32"/>
          <w:szCs w:val="32"/>
          <w:shd w:val="clear" w:color="auto" w:fill="FFFFFF"/>
          <w:lang w:val="en-US" w:eastAsia="zh-CN"/>
        </w:rPr>
        <w:t>自然资源局</w:t>
      </w:r>
    </w:p>
    <w:p w14:paraId="46013A7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12</w:t>
      </w:r>
      <w:r>
        <w:rPr>
          <w:rFonts w:hint="default" w:ascii="Times New Roman" w:hAnsi="Times New Roman" w:eastAsia="仿宋_GB2312" w:cs="Times New Roman"/>
          <w:b/>
          <w:bCs/>
          <w:color w:val="auto"/>
          <w:sz w:val="32"/>
          <w:szCs w:val="32"/>
          <w:shd w:val="clear" w:color="auto" w:fill="FFFFFF"/>
          <w:lang w:val="en-US" w:eastAsia="zh-CN"/>
        </w:rPr>
        <w:t>日</w:t>
      </w:r>
    </w:p>
    <w:p w14:paraId="74F757C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4B4A90-47FA-465F-98E6-AA128B90B8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3FDED05-9CFE-48F5-8F30-C8B3F36EEE1F}"/>
  </w:font>
  <w:font w:name="仿宋_GB2312">
    <w:panose1 w:val="02010609030101010101"/>
    <w:charset w:val="86"/>
    <w:family w:val="modern"/>
    <w:pitch w:val="default"/>
    <w:sig w:usb0="00000001" w:usb1="080E0000" w:usb2="00000000" w:usb3="00000000" w:csb0="00040000" w:csb1="00000000"/>
    <w:embedRegular r:id="rId3" w:fontKey="{1761A6F9-5D58-4250-AC86-29C17C45A4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0DA88">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C1B0B0">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46C1B0B0">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FC9A">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D6B0F"/>
    <w:multiLevelType w:val="singleLevel"/>
    <w:tmpl w:val="D26D6B0F"/>
    <w:lvl w:ilvl="0" w:tentative="0">
      <w:start w:val="2"/>
      <w:numFmt w:val="chineseCounting"/>
      <w:suff w:val="nothing"/>
      <w:lvlText w:val="（%1）"/>
      <w:lvlJc w:val="left"/>
      <w:rPr>
        <w:rFonts w:hint="eastAsia"/>
      </w:rPr>
    </w:lvl>
  </w:abstractNum>
  <w:abstractNum w:abstractNumId="1">
    <w:nsid w:val="FDDF1F1F"/>
    <w:multiLevelType w:val="singleLevel"/>
    <w:tmpl w:val="FDDF1F1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2BD40ED"/>
    <w:rsid w:val="06527CBB"/>
    <w:rsid w:val="08560D28"/>
    <w:rsid w:val="0A3E1141"/>
    <w:rsid w:val="0B8F2AB2"/>
    <w:rsid w:val="0D426B65"/>
    <w:rsid w:val="0DB7343A"/>
    <w:rsid w:val="101A475B"/>
    <w:rsid w:val="1AAF71B2"/>
    <w:rsid w:val="1D276D79"/>
    <w:rsid w:val="1DA91F7E"/>
    <w:rsid w:val="1DC53412"/>
    <w:rsid w:val="1FD24907"/>
    <w:rsid w:val="2007106B"/>
    <w:rsid w:val="227F4F5F"/>
    <w:rsid w:val="24B65C7B"/>
    <w:rsid w:val="271F6DB2"/>
    <w:rsid w:val="28BE4FD8"/>
    <w:rsid w:val="2920604A"/>
    <w:rsid w:val="2A366FA5"/>
    <w:rsid w:val="2A6E4A40"/>
    <w:rsid w:val="2B247393"/>
    <w:rsid w:val="2B7E7F7A"/>
    <w:rsid w:val="34C27E73"/>
    <w:rsid w:val="35EDA4AD"/>
    <w:rsid w:val="372B44B7"/>
    <w:rsid w:val="37DD4F2A"/>
    <w:rsid w:val="393E4AA8"/>
    <w:rsid w:val="3CA63654"/>
    <w:rsid w:val="3FD05BD0"/>
    <w:rsid w:val="424E6C95"/>
    <w:rsid w:val="42962A0C"/>
    <w:rsid w:val="43677CBB"/>
    <w:rsid w:val="47535480"/>
    <w:rsid w:val="48651873"/>
    <w:rsid w:val="4A263FB9"/>
    <w:rsid w:val="4B0019C8"/>
    <w:rsid w:val="4BE16E0F"/>
    <w:rsid w:val="4D026B08"/>
    <w:rsid w:val="4F1B009D"/>
    <w:rsid w:val="50EC2B32"/>
    <w:rsid w:val="55B31E70"/>
    <w:rsid w:val="5A891C07"/>
    <w:rsid w:val="5AE6494C"/>
    <w:rsid w:val="5EA95810"/>
    <w:rsid w:val="5FFDDF73"/>
    <w:rsid w:val="602F1688"/>
    <w:rsid w:val="62A02DE5"/>
    <w:rsid w:val="62DF0CAC"/>
    <w:rsid w:val="64490C92"/>
    <w:rsid w:val="64D82266"/>
    <w:rsid w:val="660D2ED6"/>
    <w:rsid w:val="6EC52406"/>
    <w:rsid w:val="716632E1"/>
    <w:rsid w:val="71742F46"/>
    <w:rsid w:val="72BB477E"/>
    <w:rsid w:val="743334DA"/>
    <w:rsid w:val="754C48A1"/>
    <w:rsid w:val="79390A27"/>
    <w:rsid w:val="7CB95247"/>
    <w:rsid w:val="7D726BF8"/>
    <w:rsid w:val="7E4E00D8"/>
    <w:rsid w:val="7F2D68BD"/>
    <w:rsid w:val="7FDD3B3C"/>
    <w:rsid w:val="9DB32B56"/>
    <w:rsid w:val="9FFE8D89"/>
    <w:rsid w:val="EFFF8D7C"/>
    <w:rsid w:val="FEAEA879"/>
    <w:rsid w:val="FEFFA01A"/>
    <w:rsid w:val="FF06D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9a00f50f-bf46-4021-b180-baa1fae59cf6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6B028B81</paraID>
      <start>18</start>
      <end>21</end>
      <status>unmodified</status>
      <modifiedWord/>
      <trackRevisions>false</trackRevisions>
    </reviewItem>
    <reviewItem>
      <errorID>24e598e1-59de-49a1-946e-4cfa685aec5c</errorID>
      <errorWord>《</errorWord>
      <group>L1_Punc</group>
      <groupName>标点问题</groupName>
      <ability>L2_Punc</ability>
      <abilityName>标点符号检查</abilityName>
      <candidateList/>
      <explain>同一形式括号套用。</explain>
      <paraID>6B028B81</paraID>
      <start>43</start>
      <end>44</end>
      <status>unmodified</status>
      <modifiedWord/>
      <trackRevisions>false</trackRevisions>
    </reviewItem>
    <reviewItem>
      <errorID>e1a2b5ff-efc4-4232-a1e7-a69e335218e6</errorID>
      <errorWord>》</errorWord>
      <group>L1_Punc</group>
      <groupName>标点问题</groupName>
      <ability>L2_Punc</ability>
      <abilityName>标点符号检查</abilityName>
      <candidateList/>
      <explain>同一形式括号套用。</explain>
      <paraID>6B028B81</paraID>
      <start>65</start>
      <end>66</end>
      <status>unmodified</status>
      <modifiedWord/>
      <trackRevisions>false</trackRevisions>
    </reviewItem>
    <reviewItem>
      <errorID>62f6503f-4090-4e02-b066-30fbf85e868b</errorID>
      <errorWord>处理</errorWord>
      <group>L1_Word</group>
      <groupName>字词问题</groupName>
      <ability>L2_Typo</ability>
      <abilityName>字词错误</abilityName>
      <candidateList>
        <item>受理</item>
      </candidateList>
      <explain/>
      <paraID>45FEBD2A</paraID>
      <start>22</start>
      <end>24</end>
      <status>unmodified</status>
      <modifiedWord/>
      <trackRevisions>false</trackRevisions>
    </reviewItem>
    <reviewItem>
      <errorID>c99d089f-620a-47cb-af17-f3f13c196ea6</errorID>
      <errorWord>处理</errorWord>
      <group>L1_Word</group>
      <groupName>字词问题</groupName>
      <ability>L2_Typo</ability>
      <abilityName>字词错误</abilityName>
      <candidateList>
        <item>受理</item>
      </candidateList>
      <explain/>
      <paraID>71779A83</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4af23-1829-4426-964c-f3508106814f}">
  <ds:schemaRefs/>
</ds:datastoreItem>
</file>

<file path=docProps/app.xml><?xml version="1.0" encoding="utf-8"?>
<Properties xmlns="http://schemas.openxmlformats.org/officeDocument/2006/extended-properties" xmlns:vt="http://schemas.openxmlformats.org/officeDocument/2006/docPropsVTypes">
  <Template>Normal</Template>
  <Pages>7</Pages>
  <Words>2054</Words>
  <Characters>2169</Characters>
  <Lines>53</Lines>
  <Paragraphs>15</Paragraphs>
  <TotalTime>62</TotalTime>
  <ScaleCrop>false</ScaleCrop>
  <LinksUpToDate>false</LinksUpToDate>
  <CharactersWithSpaces>2189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2021-11-05T01:59:00Z</dcterms:created>
  <dc:creator>p</dc:creator>
  <cp:lastModifiedBy>WPS_1696590446</cp:lastModifiedBy>
  <cp:lastPrinted>2021-11-05T02:00:00Z</cp:lastPrinted>
  <dcterms:modified xsi:type="dcterms:W3CDTF">2026-01-29T07:33:49Z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