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02A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市中区</w:t>
      </w:r>
      <w:r>
        <w:rPr>
          <w:rFonts w:hint="eastAsia" w:eastAsia="方正小标宋简体" w:cs="Times New Roman"/>
          <w:b w:val="0"/>
          <w:bCs w:val="0"/>
          <w:color w:val="000000" w:themeColor="text1"/>
          <w:sz w:val="44"/>
          <w:szCs w:val="44"/>
          <w:lang w:val="en-US" w:eastAsia="zh-CN"/>
          <w14:textFill>
            <w14:solidFill>
              <w14:schemeClr w14:val="tx1"/>
            </w14:solidFill>
          </w14:textFill>
        </w:rPr>
        <w:t>民政局</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202</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5</w:t>
      </w: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shd w:val="clear" w:color="auto" w:fill="FFFFFF"/>
          <w:lang w:eastAsia="zh-CN"/>
          <w14:textFill>
            <w14:solidFill>
              <w14:schemeClr w14:val="tx1"/>
            </w14:solidFill>
          </w14:textFill>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21</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30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号）和省、</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有关工作要求，编制本报告并向社会公开。本年度报告电子版可从</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市中区</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人民政府门户网站（</w:t>
      </w:r>
      <w:r>
        <w:rPr>
          <w:rFonts w:hint="default" w:ascii="Times New Roman" w:hAnsi="Times New Roman" w:eastAsia="仿宋_GB2312"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http://www.zzszq.gov.cn/</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）查阅或下载。本报告所列数据的统计</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期</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限自202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年1月1日</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起</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至202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年12月31日</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止</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。如对本报告有疑问，可与</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市中区民政局</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联系（地址</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枣庄市市中区胜利中路16号，邮编：</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277100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，电话：</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0632-</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3319059</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电子邮箱：</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zzsszqmzjadmin@zz.shandong.cn） 。</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FFFFFF"/>
          <w:lang w:val="en-US" w:eastAsia="zh-CN"/>
          <w14:textFill>
            <w14:solidFill>
              <w14:schemeClr w14:val="tx1"/>
            </w14:solidFill>
          </w14:textFill>
        </w:rPr>
        <w:t>一、</w:t>
      </w:r>
      <w:r>
        <w:rPr>
          <w:rFonts w:hint="default" w:ascii="Times New Roman" w:hAnsi="Times New Roman" w:eastAsia="黑体" w:cs="Times New Roman"/>
          <w:b w:val="0"/>
          <w:bCs w:val="0"/>
          <w:color w:val="000000" w:themeColor="text1"/>
          <w:sz w:val="32"/>
          <w:szCs w:val="32"/>
          <w:shd w:val="clear" w:color="auto" w:fill="FFFFFF"/>
          <w:lang w:eastAsia="zh-CN"/>
          <w14:textFill>
            <w14:solidFill>
              <w14:schemeClr w14:val="tx1"/>
            </w14:solidFill>
          </w14:textFill>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2025年，</w:t>
      </w:r>
      <w:r>
        <w:rPr>
          <w:rFonts w:hint="eastAsia" w:eastAsia="仿宋_GB2312" w:cs="Times New Roman"/>
          <w:b w:val="0"/>
          <w:bCs w:val="0"/>
          <w:color w:val="000000" w:themeColor="text1"/>
          <w:sz w:val="32"/>
          <w:szCs w:val="32"/>
          <w:lang w:val="en-US" w:eastAsia="zh-CN"/>
          <w14:textFill>
            <w14:solidFill>
              <w14:schemeClr w14:val="tx1"/>
            </w14:solidFill>
          </w14:textFill>
        </w:rPr>
        <w:t>市中区民政局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3C434C8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主动公开</w:t>
      </w:r>
    </w:p>
    <w:p w14:paraId="0A93CD6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2025年，我局主动公开信息</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853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条，其中在区政府门户网站公开</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202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条，利用微信形式公开</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651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条。</w:t>
      </w:r>
    </w:p>
    <w:p w14:paraId="377410F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14:paraId="73D71E9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14:paraId="3141F07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drawing>
          <wp:inline distT="0" distB="0" distL="114300" distR="114300">
            <wp:extent cx="3052445" cy="2045970"/>
            <wp:effectExtent l="0" t="0" r="14605" b="11430"/>
            <wp:docPr id="4" name="图片 4"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1"/>
                    <pic:cNvPicPr>
                      <a:picLocks noChangeAspect="1"/>
                    </pic:cNvPicPr>
                  </pic:nvPicPr>
                  <pic:blipFill>
                    <a:blip r:embed="rId6"/>
                    <a:srcRect b="71993"/>
                    <a:stretch>
                      <a:fillRect/>
                    </a:stretch>
                  </pic:blipFill>
                  <pic:spPr>
                    <a:xfrm>
                      <a:off x="0" y="0"/>
                      <a:ext cx="3052445" cy="2045970"/>
                    </a:xfrm>
                    <a:prstGeom prst="rect">
                      <a:avLst/>
                    </a:prstGeom>
                  </pic:spPr>
                </pic:pic>
              </a:graphicData>
            </a:graphic>
          </wp:inline>
        </w:drawing>
      </w:r>
    </w:p>
    <w:p w14:paraId="44A8A8D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及时公开机构概况。根据《中华人民共和国政府信息公开条例》第二十条第（二）款要求，在机构改革完成后，第一时间更新机关职能、机构设置、办公地址、办公时间、联系方式、负责人姓名，并在区政府信息公开专栏公布。</w:t>
      </w:r>
    </w:p>
    <w:p w14:paraId="602CAB7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不断完善民生领域信息公开内容。根据《中华人民共和国政府信息公开条例》第二十条第（七）款要求，结合业务工作实际，按月公开城乡低保、城乡特困、临时救助、残疾人两项补贴、儿童福利类、经济困难老人生活补贴、经济困难老人护理补贴等资金发放情况，便于公众了解。同时，不断扩大公开范围、细化公开内容，让公众及时掌握民政信息。</w:t>
      </w:r>
    </w:p>
    <w:p w14:paraId="66BF68A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宋体"/>
          <w:b w:val="0"/>
          <w:bCs w:val="0"/>
          <w:color w:val="000000" w:themeColor="text1"/>
          <w:lang w:eastAsia="zh-CN"/>
          <w14:textFill>
            <w14:solidFill>
              <w14:schemeClr w14:val="tx1"/>
            </w14:solidFill>
          </w14:textFill>
        </w:rPr>
        <w:drawing>
          <wp:inline distT="0" distB="0" distL="114300" distR="114300">
            <wp:extent cx="3709670" cy="2574290"/>
            <wp:effectExtent l="0" t="0" r="5080" b="16510"/>
            <wp:docPr id="6" name="图片 6"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111"/>
                    <pic:cNvPicPr>
                      <a:picLocks noChangeAspect="1"/>
                    </pic:cNvPicPr>
                  </pic:nvPicPr>
                  <pic:blipFill>
                    <a:blip r:embed="rId7"/>
                    <a:stretch>
                      <a:fillRect/>
                    </a:stretch>
                  </pic:blipFill>
                  <pic:spPr>
                    <a:xfrm>
                      <a:off x="0" y="0"/>
                      <a:ext cx="3709670" cy="2574290"/>
                    </a:xfrm>
                    <a:prstGeom prst="rect">
                      <a:avLst/>
                    </a:prstGeom>
                  </pic:spPr>
                </pic:pic>
              </a:graphicData>
            </a:graphic>
          </wp:inline>
        </w:drawing>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依申请公开</w:t>
      </w:r>
    </w:p>
    <w:p w14:paraId="1517C6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做好依申请公开工作，依法保障民众的知情权、参与权、表达权、监督权。202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年共受理政府信息公开申请</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涉及</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婚姻登记</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残疾人两项补贴</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领域。</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其中予以公开申请</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件，部分公开</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件，不予公开</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件，无法提供</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件，不予处理</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件，均在法定期限内予以答复。</w:t>
      </w:r>
    </w:p>
    <w:p w14:paraId="70476A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本年度依申请公开政府信息未收取任何费用。</w:t>
      </w:r>
    </w:p>
    <w:p w14:paraId="536D9A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因政府信息公开被申请行政复议</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件，因公民、法人和其他组织认为行政机关政府信息公开工作具体行政行为侵犯其合法权益，提起行政诉讼</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件。</w:t>
      </w:r>
    </w:p>
    <w:p w14:paraId="717AEC7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政府信息管理</w:t>
      </w:r>
    </w:p>
    <w:p w14:paraId="72B49F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09A512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（四）政府信息公开</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val="0"/>
          <w:bCs w:val="0"/>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依托“</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枣庄市市中区人民政府</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网站”“</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政府信息公开专栏</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”等平台发布信息，推动政务公开信息向不同群体精准推送，提升群众获取政府信息的便利度和幸福感</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b w:val="0"/>
          <w:bCs w:val="0"/>
          <w:color w:val="000000" w:themeColor="text1"/>
          <w:sz w:val="32"/>
          <w:szCs w:val="32"/>
          <w:lang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t>（五）</w:t>
      </w:r>
      <w:r>
        <w:rPr>
          <w:rFonts w:hint="default" w:ascii="Times New Roman" w:hAnsi="Times New Roman" w:eastAsia="黑体" w:cs="Times New Roman"/>
          <w:b w:val="0"/>
          <w:bCs w:val="0"/>
          <w:color w:val="000000" w:themeColor="text1"/>
          <w:sz w:val="32"/>
          <w:szCs w:val="32"/>
          <w:lang w:eastAsia="zh-CN" w:bidi="ar-SA"/>
          <w14:textFill>
            <w14:solidFill>
              <w14:schemeClr w14:val="tx1"/>
            </w14:solidFill>
          </w14:textFill>
        </w:rPr>
        <w:t>监督保障</w:t>
      </w:r>
    </w:p>
    <w:p w14:paraId="5457C58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b w:val="0"/>
          <w:bCs w:val="0"/>
          <w:color w:val="000000" w:themeColor="text1"/>
          <w:kern w:val="0"/>
          <w:sz w:val="32"/>
          <w:szCs w:val="32"/>
          <w:shd w:val="clear" w:color="auto" w:fill="FFFFFF"/>
          <w:lang w:val="en-US" w:eastAsia="zh-CN" w:bidi="en-US"/>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FFFFFF"/>
          <w:lang w:val="en-US" w:eastAsia="zh-CN" w:bidi="en-US"/>
          <w14:textFill>
            <w14:solidFill>
              <w14:schemeClr w14:val="tx1"/>
            </w14:solidFill>
          </w14:textFill>
        </w:rPr>
        <w:t>市中区民政局高度重视政府信息公开工作，将其列入重要议事日程，明确分管领导牵头负责、专职人员具体承办，统筹协调全局政务信息公开工作，实现组织领导、机构人员、工作措施“三个到位”。</w:t>
      </w:r>
    </w:p>
    <w:p w14:paraId="7BBDF8C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FFFFFF"/>
          <w:lang w:val="en-US" w:eastAsia="zh-CN" w:bidi="en-US"/>
          <w14:textFill>
            <w14:solidFill>
              <w14:schemeClr w14:val="tx1"/>
            </w14:solidFill>
          </w14:textFill>
        </w:rPr>
        <w:t>强化业务培训赋能，全面提升工作质效。积极组织相关人员参加上级部门举办的政府信息公开工作会议和业务培训，同步面向各科室开展专题辅导，切实提升工作人员对政府信息公开工作的思想认识和业务能力，为各项工作顺利推进奠定坚实基础。</w:t>
      </w:r>
    </w:p>
    <w:p w14:paraId="7B710DDE">
      <w:pPr>
        <w:pStyle w:val="11"/>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b w:val="0"/>
          <w:bCs w:val="0"/>
          <w:color w:val="000000" w:themeColor="text1"/>
          <w:sz w:val="32"/>
          <w:szCs w:val="32"/>
          <w14:textFill>
            <w14:solidFill>
              <w14:schemeClr w14:val="tx1"/>
            </w14:solidFill>
          </w14:textFill>
        </w:rPr>
        <w:t>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000000" w:themeColor="text1"/>
                <w:kern w:val="0"/>
                <w:szCs w:val="21"/>
                <w14:textFill>
                  <w14:solidFill>
                    <w14:schemeClr w14:val="tx1"/>
                  </w14:solidFill>
                </w14:textFill>
              </w:rPr>
            </w:pPr>
            <w:r>
              <w:rPr>
                <w:rFonts w:hint="default" w:ascii="Times New Roman" w:hAnsi="Times New Roman" w:eastAsia="黑体" w:cs="Times New Roman"/>
                <w:b w:val="0"/>
                <w:bCs w:val="0"/>
                <w:color w:val="000000" w:themeColor="text1"/>
                <w:kern w:val="0"/>
                <w:szCs w:val="21"/>
                <w14:textFill>
                  <w14:solidFill>
                    <w14:schemeClr w14:val="tx1"/>
                  </w14:solidFill>
                </w14:textFill>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val="en-US"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000000" w:themeColor="text1"/>
                <w:kern w:val="0"/>
                <w:szCs w:val="21"/>
                <w14:textFill>
                  <w14:solidFill>
                    <w14:schemeClr w14:val="tx1"/>
                  </w14:solidFill>
                </w14:textFill>
              </w:rPr>
            </w:pPr>
            <w:r>
              <w:rPr>
                <w:rFonts w:hint="default" w:ascii="Times New Roman" w:hAnsi="Times New Roman" w:eastAsia="黑体" w:cs="Times New Roman"/>
                <w:b w:val="0"/>
                <w:bCs w:val="0"/>
                <w:color w:val="000000" w:themeColor="text1"/>
                <w:kern w:val="0"/>
                <w:szCs w:val="21"/>
                <w14:textFill>
                  <w14:solidFill>
                    <w14:schemeClr w14:val="tx1"/>
                  </w14:solidFill>
                </w14:textFill>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000000" w:themeColor="text1"/>
                <w:kern w:val="0"/>
                <w:szCs w:val="21"/>
                <w14:textFill>
                  <w14:solidFill>
                    <w14:schemeClr w14:val="tx1"/>
                  </w14:solidFill>
                </w14:textFill>
              </w:rPr>
            </w:pPr>
            <w:r>
              <w:rPr>
                <w:rFonts w:hint="default" w:ascii="Times New Roman" w:hAnsi="Times New Roman" w:eastAsia="黑体" w:cs="Times New Roman"/>
                <w:b w:val="0"/>
                <w:bCs w:val="0"/>
                <w:color w:val="000000" w:themeColor="text1"/>
                <w:kern w:val="0"/>
                <w:szCs w:val="21"/>
                <w14:textFill>
                  <w14:solidFill>
                    <w14:schemeClr w14:val="tx1"/>
                  </w14:solidFill>
                </w14:textFill>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本年处理决定数量</w:t>
            </w:r>
          </w:p>
        </w:tc>
      </w:tr>
      <w:tr w14:paraId="51B7A512">
        <w:tblPrEx>
          <w:tblCellMar>
            <w:top w:w="0" w:type="dxa"/>
            <w:left w:w="108" w:type="dxa"/>
            <w:bottom w:w="0" w:type="dxa"/>
            <w:right w:w="108" w:type="dxa"/>
          </w:tblCellMar>
        </w:tblPrEx>
        <w:trPr>
          <w:trHeight w:val="633"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000000" w:themeColor="text1"/>
                <w:kern w:val="0"/>
                <w:szCs w:val="21"/>
                <w14:textFill>
                  <w14:solidFill>
                    <w14:schemeClr w14:val="tx1"/>
                  </w14:solidFill>
                </w14:textFill>
              </w:rPr>
            </w:pPr>
            <w:r>
              <w:rPr>
                <w:rFonts w:hint="default" w:ascii="Times New Roman" w:hAnsi="Times New Roman" w:eastAsia="黑体" w:cs="Times New Roman"/>
                <w:b w:val="0"/>
                <w:bCs w:val="0"/>
                <w:color w:val="000000" w:themeColor="text1"/>
                <w:kern w:val="0"/>
                <w:szCs w:val="21"/>
                <w14:textFill>
                  <w14:solidFill>
                    <w14:schemeClr w14:val="tx1"/>
                  </w14:solidFill>
                </w14:textFill>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000000" w:themeColor="text1"/>
                <w:kern w:val="0"/>
                <w:szCs w:val="21"/>
                <w14:textFill>
                  <w14:solidFill>
                    <w14:schemeClr w14:val="tx1"/>
                  </w14:solidFill>
                </w14:textFill>
              </w:rPr>
            </w:pPr>
            <w:r>
              <w:rPr>
                <w:rFonts w:hint="default" w:ascii="Times New Roman" w:hAnsi="Times New Roman" w:eastAsia="仿宋_GB2312" w:cs="Times New Roman"/>
                <w:b w:val="0"/>
                <w:bCs w:val="0"/>
                <w:color w:val="000000" w:themeColor="text1"/>
                <w:kern w:val="0"/>
                <w:szCs w:val="21"/>
                <w14:textFill>
                  <w14:solidFill>
                    <w14:schemeClr w14:val="tx1"/>
                  </w14:solidFill>
                </w14:textFill>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themeColor="text1"/>
                <w:kern w:val="0"/>
                <w:szCs w:val="21"/>
                <w:lang w:eastAsia="zh-CN"/>
                <w14:textFill>
                  <w14:solidFill>
                    <w14:schemeClr w14:val="tx1"/>
                  </w14:solidFill>
                </w14:textFill>
              </w:rPr>
            </w:pPr>
            <w:r>
              <w:rPr>
                <w:rFonts w:hint="eastAsia" w:eastAsia="仿宋_GB2312" w:cs="Times New Roman"/>
                <w:b w:val="0"/>
                <w:bCs w:val="0"/>
                <w:color w:val="000000" w:themeColor="text1"/>
                <w:kern w:val="0"/>
                <w:szCs w:val="21"/>
                <w:lang w:val="en-US" w:eastAsia="zh-CN"/>
                <w14:textFill>
                  <w14:solidFill>
                    <w14:schemeClr w14:val="tx1"/>
                  </w14:solidFill>
                </w14:textFill>
              </w:rPr>
              <w:t>0</w:t>
            </w:r>
          </w:p>
        </w:tc>
      </w:tr>
    </w:tbl>
    <w:p w14:paraId="4E6A2AF6">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p>
    <w:p w14:paraId="732BF267">
      <w:pPr>
        <w:pStyle w:val="11"/>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14:textFill>
            <w14:solidFill>
              <w14:schemeClr w14:val="tx1"/>
            </w14:solidFill>
          </w14:textFill>
        </w:rPr>
        <w:t>收到和处理政府信息公开申请情况</w:t>
      </w:r>
    </w:p>
    <w:tbl>
      <w:tblPr>
        <w:tblStyle w:val="6"/>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5F41AE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2D94F9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31BBF00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p>
        </w:tc>
        <w:tc>
          <w:tcPr>
            <w:tcW w:w="752" w:type="dxa"/>
            <w:vMerge w:val="restart"/>
            <w:shd w:val="clear" w:color="auto" w:fill="auto"/>
            <w:tcMar>
              <w:left w:w="108" w:type="dxa"/>
              <w:right w:w="108" w:type="dxa"/>
            </w:tcMar>
            <w:vAlign w:val="center"/>
          </w:tcPr>
          <w:p w14:paraId="41E6E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自然人</w:t>
            </w:r>
          </w:p>
        </w:tc>
        <w:tc>
          <w:tcPr>
            <w:tcW w:w="489" w:type="dxa"/>
            <w:gridSpan w:val="5"/>
            <w:shd w:val="clear" w:color="auto" w:fill="auto"/>
            <w:tcMar>
              <w:left w:w="108" w:type="dxa"/>
              <w:right w:w="108" w:type="dxa"/>
            </w:tcMar>
            <w:vAlign w:val="center"/>
          </w:tcPr>
          <w:p w14:paraId="393CED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法人或其他组织</w:t>
            </w:r>
          </w:p>
        </w:tc>
        <w:tc>
          <w:tcPr>
            <w:tcW w:w="491" w:type="dxa"/>
            <w:vMerge w:val="restart"/>
            <w:shd w:val="clear" w:color="auto" w:fill="auto"/>
            <w:tcMar>
              <w:left w:w="108" w:type="dxa"/>
              <w:right w:w="108" w:type="dxa"/>
            </w:tcMar>
            <w:vAlign w:val="center"/>
          </w:tcPr>
          <w:p w14:paraId="59B716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1116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p>
        </w:tc>
        <w:tc>
          <w:tcPr>
            <w:tcW w:w="752" w:type="dxa"/>
            <w:vMerge w:val="continue"/>
            <w:shd w:val="clear" w:color="auto" w:fill="auto"/>
            <w:tcMar>
              <w:left w:w="108" w:type="dxa"/>
              <w:right w:w="108" w:type="dxa"/>
            </w:tcMar>
            <w:vAlign w:val="center"/>
          </w:tcPr>
          <w:p w14:paraId="25E718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p>
        </w:tc>
        <w:tc>
          <w:tcPr>
            <w:tcW w:w="690" w:type="dxa"/>
            <w:shd w:val="clear" w:color="auto" w:fill="auto"/>
            <w:tcMar>
              <w:left w:w="108" w:type="dxa"/>
              <w:right w:w="108" w:type="dxa"/>
            </w:tcMar>
            <w:vAlign w:val="center"/>
          </w:tcPr>
          <w:p w14:paraId="44B8D8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商业企业</w:t>
            </w:r>
          </w:p>
        </w:tc>
        <w:tc>
          <w:tcPr>
            <w:tcW w:w="690" w:type="dxa"/>
            <w:shd w:val="clear" w:color="auto" w:fill="auto"/>
            <w:tcMar>
              <w:left w:w="108" w:type="dxa"/>
              <w:right w:w="108" w:type="dxa"/>
            </w:tcMar>
            <w:vAlign w:val="center"/>
          </w:tcPr>
          <w:p w14:paraId="2639F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科研机构</w:t>
            </w:r>
          </w:p>
        </w:tc>
        <w:tc>
          <w:tcPr>
            <w:tcW w:w="895" w:type="dxa"/>
            <w:shd w:val="clear" w:color="auto" w:fill="auto"/>
            <w:tcMar>
              <w:left w:w="108" w:type="dxa"/>
              <w:right w:w="108" w:type="dxa"/>
            </w:tcMar>
            <w:vAlign w:val="center"/>
          </w:tcPr>
          <w:p w14:paraId="3076DB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社会公益组织</w:t>
            </w:r>
          </w:p>
        </w:tc>
        <w:tc>
          <w:tcPr>
            <w:tcW w:w="724" w:type="dxa"/>
            <w:shd w:val="clear" w:color="auto" w:fill="auto"/>
            <w:tcMar>
              <w:left w:w="108" w:type="dxa"/>
              <w:right w:w="108" w:type="dxa"/>
            </w:tcMar>
            <w:vAlign w:val="center"/>
          </w:tcPr>
          <w:p w14:paraId="3BBC7A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法律服务机构</w:t>
            </w:r>
          </w:p>
        </w:tc>
        <w:tc>
          <w:tcPr>
            <w:tcW w:w="489" w:type="dxa"/>
            <w:shd w:val="clear" w:color="auto" w:fill="auto"/>
            <w:tcMar>
              <w:left w:w="108" w:type="dxa"/>
              <w:right w:w="108" w:type="dxa"/>
            </w:tcMar>
            <w:vAlign w:val="center"/>
          </w:tcPr>
          <w:p w14:paraId="025457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bCs w:val="0"/>
                <w:color w:val="000000" w:themeColor="text1"/>
                <w:kern w:val="0"/>
                <w:sz w:val="21"/>
                <w:szCs w:val="21"/>
                <w:lang w:eastAsia="zh-CN" w:bidi="ar-SA"/>
                <w14:textFill>
                  <w14:solidFill>
                    <w14:schemeClr w14:val="tx1"/>
                  </w14:solidFill>
                </w14:textFill>
              </w:rPr>
              <w:t>其他</w:t>
            </w:r>
          </w:p>
        </w:tc>
        <w:tc>
          <w:tcPr>
            <w:tcW w:w="491" w:type="dxa"/>
            <w:vMerge w:val="continue"/>
            <w:shd w:val="clear" w:color="auto" w:fill="auto"/>
            <w:tcMar>
              <w:left w:w="108" w:type="dxa"/>
              <w:right w:w="108" w:type="dxa"/>
            </w:tcMar>
            <w:vAlign w:val="center"/>
          </w:tcPr>
          <w:p w14:paraId="5604E28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bCs w:val="0"/>
                <w:color w:val="000000" w:themeColor="text1"/>
                <w:kern w:val="2"/>
                <w:sz w:val="21"/>
                <w:szCs w:val="21"/>
                <w:lang w:eastAsia="zh-CN" w:bidi="ar-SA"/>
                <w14:textFill>
                  <w14:solidFill>
                    <w14:schemeClr w14:val="tx1"/>
                  </w14:solidFill>
                </w14:textFill>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2258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一、</w:t>
            </w:r>
            <w:bookmarkStart w:id="0" w:name="_Hlk66973412"/>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本年新收政府信息公开申请数量</w:t>
            </w:r>
            <w:bookmarkEnd w:id="0"/>
          </w:p>
        </w:tc>
        <w:tc>
          <w:tcPr>
            <w:tcW w:w="752" w:type="dxa"/>
            <w:shd w:val="clear" w:color="auto" w:fill="auto"/>
            <w:tcMar>
              <w:left w:w="108" w:type="dxa"/>
              <w:right w:w="108" w:type="dxa"/>
            </w:tcMar>
            <w:vAlign w:val="center"/>
          </w:tcPr>
          <w:p w14:paraId="4098FD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2</w:t>
            </w:r>
          </w:p>
        </w:tc>
        <w:tc>
          <w:tcPr>
            <w:tcW w:w="690" w:type="dxa"/>
            <w:shd w:val="clear" w:color="auto" w:fill="auto"/>
            <w:tcMar>
              <w:left w:w="108" w:type="dxa"/>
              <w:right w:w="108" w:type="dxa"/>
            </w:tcMar>
            <w:vAlign w:val="center"/>
          </w:tcPr>
          <w:p w14:paraId="7EA571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3D957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746B77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4372D36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0CBE79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693788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2</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5E48B0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二、上年结转政府信息公开申请数量</w:t>
            </w:r>
          </w:p>
        </w:tc>
        <w:tc>
          <w:tcPr>
            <w:tcW w:w="752" w:type="dxa"/>
            <w:shd w:val="clear" w:color="auto" w:fill="auto"/>
            <w:tcMar>
              <w:left w:w="108" w:type="dxa"/>
              <w:right w:w="108" w:type="dxa"/>
            </w:tcMar>
            <w:vAlign w:val="center"/>
          </w:tcPr>
          <w:p w14:paraId="0A433C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6993E1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4CA22B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E3B3B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02945E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17518A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6D1CB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0989E0F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三、本年度办理结果</w:t>
            </w:r>
          </w:p>
        </w:tc>
        <w:tc>
          <w:tcPr>
            <w:tcW w:w="2514" w:type="dxa"/>
            <w:gridSpan w:val="2"/>
            <w:shd w:val="clear" w:color="auto" w:fill="auto"/>
            <w:tcMar>
              <w:left w:w="108" w:type="dxa"/>
              <w:right w:w="108" w:type="dxa"/>
            </w:tcMar>
            <w:vAlign w:val="center"/>
          </w:tcPr>
          <w:p w14:paraId="76FF7A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（一）予以公开</w:t>
            </w:r>
          </w:p>
        </w:tc>
        <w:tc>
          <w:tcPr>
            <w:tcW w:w="752" w:type="dxa"/>
            <w:shd w:val="clear" w:color="auto" w:fill="auto"/>
            <w:tcMar>
              <w:left w:w="108" w:type="dxa"/>
              <w:right w:w="108" w:type="dxa"/>
            </w:tcMar>
            <w:vAlign w:val="center"/>
          </w:tcPr>
          <w:p w14:paraId="77603D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2</w:t>
            </w:r>
          </w:p>
        </w:tc>
        <w:tc>
          <w:tcPr>
            <w:tcW w:w="690" w:type="dxa"/>
            <w:shd w:val="clear" w:color="auto" w:fill="auto"/>
            <w:tcMar>
              <w:left w:w="108" w:type="dxa"/>
              <w:right w:w="108" w:type="dxa"/>
            </w:tcMar>
            <w:vAlign w:val="center"/>
          </w:tcPr>
          <w:p w14:paraId="5A4E9E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4F60E1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31C836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7B11E7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5732A8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CE09C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2</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B37C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gridSpan w:val="2"/>
            <w:shd w:val="clear" w:color="auto" w:fill="auto"/>
            <w:tcMar>
              <w:left w:w="108" w:type="dxa"/>
              <w:right w:w="108" w:type="dxa"/>
            </w:tcMar>
            <w:vAlign w:val="center"/>
          </w:tcPr>
          <w:p w14:paraId="6C471E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（二）部分公开（</w:t>
            </w:r>
            <w:bookmarkStart w:id="1" w:name="_Hlk66973981"/>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区分处理的，只计这一情形，不计其他情形</w:t>
            </w:r>
            <w:bookmarkEnd w:id="1"/>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w:t>
            </w:r>
          </w:p>
        </w:tc>
        <w:tc>
          <w:tcPr>
            <w:tcW w:w="752" w:type="dxa"/>
            <w:shd w:val="clear" w:color="auto" w:fill="auto"/>
            <w:tcMar>
              <w:left w:w="108" w:type="dxa"/>
              <w:right w:w="108" w:type="dxa"/>
            </w:tcMar>
            <w:vAlign w:val="center"/>
          </w:tcPr>
          <w:p w14:paraId="286DBD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5E1D0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1ED8A4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39D3C1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1608D7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7A465CE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7296E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D22E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restart"/>
            <w:shd w:val="clear" w:color="auto" w:fill="auto"/>
            <w:tcMar>
              <w:left w:w="108" w:type="dxa"/>
              <w:right w:w="108" w:type="dxa"/>
            </w:tcMar>
            <w:vAlign w:val="center"/>
          </w:tcPr>
          <w:p w14:paraId="5139BB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（三）不予公开</w:t>
            </w:r>
          </w:p>
        </w:tc>
        <w:tc>
          <w:tcPr>
            <w:tcW w:w="2514" w:type="dxa"/>
            <w:shd w:val="clear" w:color="auto" w:fill="auto"/>
            <w:tcMar>
              <w:left w:w="108" w:type="dxa"/>
              <w:right w:w="108" w:type="dxa"/>
            </w:tcMar>
            <w:vAlign w:val="center"/>
          </w:tcPr>
          <w:p w14:paraId="5043CB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1.属于国家秘密</w:t>
            </w:r>
          </w:p>
        </w:tc>
        <w:tc>
          <w:tcPr>
            <w:tcW w:w="752" w:type="dxa"/>
            <w:shd w:val="clear" w:color="auto" w:fill="auto"/>
            <w:tcMar>
              <w:left w:w="108" w:type="dxa"/>
              <w:right w:w="108" w:type="dxa"/>
            </w:tcMar>
            <w:vAlign w:val="center"/>
          </w:tcPr>
          <w:p w14:paraId="7B1B6B6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B8C26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0EBB6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17B672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2FBC23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2AAEC87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D1263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6D234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47A4227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7519D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2.</w:t>
            </w:r>
            <w:bookmarkStart w:id="2" w:name="_Hlk66974104"/>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其他法律行政法规禁止公开</w:t>
            </w:r>
            <w:bookmarkEnd w:id="2"/>
          </w:p>
        </w:tc>
        <w:tc>
          <w:tcPr>
            <w:tcW w:w="752" w:type="dxa"/>
            <w:shd w:val="clear" w:color="auto" w:fill="auto"/>
            <w:tcMar>
              <w:left w:w="108" w:type="dxa"/>
              <w:right w:w="108" w:type="dxa"/>
            </w:tcMar>
            <w:vAlign w:val="center"/>
          </w:tcPr>
          <w:p w14:paraId="3F80F1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40D3CA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718F63E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5AA6C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33A3DF9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1AD4FE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383BC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62E894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441C4D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34277C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3.危及“三安全一稳定”</w:t>
            </w:r>
          </w:p>
        </w:tc>
        <w:tc>
          <w:tcPr>
            <w:tcW w:w="752" w:type="dxa"/>
            <w:shd w:val="clear" w:color="auto" w:fill="auto"/>
            <w:tcMar>
              <w:left w:w="108" w:type="dxa"/>
              <w:right w:w="108" w:type="dxa"/>
            </w:tcMar>
            <w:vAlign w:val="center"/>
          </w:tcPr>
          <w:p w14:paraId="3B4C284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852188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D77CB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4FAB8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0A3EA8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40E50A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3DE659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B6657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1C6AB0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1729D7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4.</w:t>
            </w:r>
            <w:bookmarkStart w:id="3" w:name="_Hlk66974290"/>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保护第三方合法权益</w:t>
            </w:r>
            <w:bookmarkEnd w:id="3"/>
          </w:p>
        </w:tc>
        <w:tc>
          <w:tcPr>
            <w:tcW w:w="752" w:type="dxa"/>
            <w:shd w:val="clear" w:color="auto" w:fill="auto"/>
            <w:tcMar>
              <w:left w:w="108" w:type="dxa"/>
              <w:right w:w="108" w:type="dxa"/>
            </w:tcMar>
            <w:vAlign w:val="center"/>
          </w:tcPr>
          <w:p w14:paraId="2C6E3B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47A4951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3D9E27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069AE4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0B5AC9B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1D5B7E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437FE41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8CBB3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718CCD5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2BF4D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5.属于三类内部事务信息</w:t>
            </w:r>
          </w:p>
        </w:tc>
        <w:tc>
          <w:tcPr>
            <w:tcW w:w="752" w:type="dxa"/>
            <w:shd w:val="clear" w:color="auto" w:fill="auto"/>
            <w:tcMar>
              <w:left w:w="108" w:type="dxa"/>
              <w:right w:w="108" w:type="dxa"/>
            </w:tcMar>
            <w:vAlign w:val="center"/>
          </w:tcPr>
          <w:p w14:paraId="69F00A9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B4B19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768A4F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553B98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511D03E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C3DD8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11BDA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0E2FA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18BB61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13C98D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6.</w:t>
            </w:r>
            <w:bookmarkStart w:id="4" w:name="_Hlk66974555"/>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属于四类过程性信息</w:t>
            </w:r>
            <w:bookmarkEnd w:id="4"/>
          </w:p>
        </w:tc>
        <w:tc>
          <w:tcPr>
            <w:tcW w:w="752" w:type="dxa"/>
            <w:shd w:val="clear" w:color="auto" w:fill="auto"/>
            <w:tcMar>
              <w:left w:w="108" w:type="dxa"/>
              <w:right w:w="108" w:type="dxa"/>
            </w:tcMar>
            <w:vAlign w:val="center"/>
          </w:tcPr>
          <w:p w14:paraId="147302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4F1BF5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A399D4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2683FF4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7DE5FD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63C49F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E9B38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78AD9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537BC64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5FEA3C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7.属于行政执法案卷</w:t>
            </w:r>
          </w:p>
        </w:tc>
        <w:tc>
          <w:tcPr>
            <w:tcW w:w="752" w:type="dxa"/>
            <w:shd w:val="clear" w:color="auto" w:fill="auto"/>
            <w:tcMar>
              <w:left w:w="108" w:type="dxa"/>
              <w:right w:w="108" w:type="dxa"/>
            </w:tcMar>
            <w:vAlign w:val="center"/>
          </w:tcPr>
          <w:p w14:paraId="35E43F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7209A92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EC9E2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1401EF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4D12DC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3481E5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747801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4E76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5CD273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3E4459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8.</w:t>
            </w:r>
            <w:bookmarkStart w:id="5" w:name="_Hlk66975211"/>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属于行政查询事项</w:t>
            </w:r>
            <w:bookmarkEnd w:id="5"/>
          </w:p>
        </w:tc>
        <w:tc>
          <w:tcPr>
            <w:tcW w:w="752" w:type="dxa"/>
            <w:shd w:val="clear" w:color="auto" w:fill="auto"/>
            <w:tcMar>
              <w:left w:w="108" w:type="dxa"/>
              <w:right w:w="108" w:type="dxa"/>
            </w:tcMar>
            <w:vAlign w:val="center"/>
          </w:tcPr>
          <w:p w14:paraId="094E47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8E632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0BED3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2B42DB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1ACAB2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50B10E8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12091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2B1CB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restart"/>
            <w:shd w:val="clear" w:color="auto" w:fill="auto"/>
            <w:tcMar>
              <w:left w:w="108" w:type="dxa"/>
              <w:right w:w="108" w:type="dxa"/>
            </w:tcMar>
            <w:vAlign w:val="center"/>
          </w:tcPr>
          <w:p w14:paraId="0F250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（四）无法提供</w:t>
            </w:r>
          </w:p>
        </w:tc>
        <w:tc>
          <w:tcPr>
            <w:tcW w:w="2514" w:type="dxa"/>
            <w:shd w:val="clear" w:color="auto" w:fill="auto"/>
            <w:tcMar>
              <w:left w:w="108" w:type="dxa"/>
              <w:right w:w="108" w:type="dxa"/>
            </w:tcMar>
            <w:vAlign w:val="center"/>
          </w:tcPr>
          <w:p w14:paraId="77D5F5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1.本机关不掌握相关政府信息</w:t>
            </w:r>
          </w:p>
        </w:tc>
        <w:tc>
          <w:tcPr>
            <w:tcW w:w="752" w:type="dxa"/>
            <w:shd w:val="clear" w:color="auto" w:fill="auto"/>
            <w:tcMar>
              <w:left w:w="108" w:type="dxa"/>
              <w:right w:w="108" w:type="dxa"/>
            </w:tcMar>
            <w:vAlign w:val="center"/>
          </w:tcPr>
          <w:p w14:paraId="22C0A1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B232F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79F84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7AD3B4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14DD2B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29C66F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C559D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C13DF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49E08D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67660F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2.</w:t>
            </w:r>
            <w:bookmarkStart w:id="6" w:name="_Hlk66975392"/>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没有现成信息需要另行制作</w:t>
            </w:r>
            <w:bookmarkEnd w:id="6"/>
          </w:p>
        </w:tc>
        <w:tc>
          <w:tcPr>
            <w:tcW w:w="752" w:type="dxa"/>
            <w:shd w:val="clear" w:color="auto" w:fill="auto"/>
            <w:tcMar>
              <w:left w:w="108" w:type="dxa"/>
              <w:right w:w="108" w:type="dxa"/>
            </w:tcMar>
            <w:vAlign w:val="center"/>
          </w:tcPr>
          <w:p w14:paraId="472677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450D18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AC1D3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F90D4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5A76A4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2CF71B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27F8F5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0FEF2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50E617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4BDBFB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3.</w:t>
            </w:r>
            <w:bookmarkStart w:id="7" w:name="_Hlk66975466"/>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补正后申请内容仍不明确</w:t>
            </w:r>
            <w:bookmarkEnd w:id="7"/>
          </w:p>
        </w:tc>
        <w:tc>
          <w:tcPr>
            <w:tcW w:w="752" w:type="dxa"/>
            <w:shd w:val="clear" w:color="auto" w:fill="auto"/>
            <w:tcMar>
              <w:left w:w="108" w:type="dxa"/>
              <w:right w:w="108" w:type="dxa"/>
            </w:tcMar>
            <w:vAlign w:val="center"/>
          </w:tcPr>
          <w:p w14:paraId="1D9925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0ED78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D91D1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7CD7DF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63E921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FC4B5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71785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50050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restart"/>
            <w:shd w:val="clear" w:color="auto" w:fill="auto"/>
            <w:tcMar>
              <w:left w:w="108" w:type="dxa"/>
              <w:right w:w="108" w:type="dxa"/>
            </w:tcMar>
            <w:vAlign w:val="center"/>
          </w:tcPr>
          <w:p w14:paraId="370E1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（五）不予处理</w:t>
            </w:r>
          </w:p>
        </w:tc>
        <w:tc>
          <w:tcPr>
            <w:tcW w:w="2514" w:type="dxa"/>
            <w:shd w:val="clear" w:color="auto" w:fill="auto"/>
            <w:tcMar>
              <w:left w:w="108" w:type="dxa"/>
              <w:right w:w="108" w:type="dxa"/>
            </w:tcMar>
            <w:vAlign w:val="center"/>
          </w:tcPr>
          <w:p w14:paraId="65124A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1.</w:t>
            </w:r>
            <w:bookmarkStart w:id="8" w:name="_Hlk66975537"/>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信访举报投诉类申请</w:t>
            </w:r>
            <w:bookmarkEnd w:id="8"/>
          </w:p>
        </w:tc>
        <w:tc>
          <w:tcPr>
            <w:tcW w:w="752" w:type="dxa"/>
            <w:shd w:val="clear" w:color="auto" w:fill="auto"/>
            <w:tcMar>
              <w:left w:w="108" w:type="dxa"/>
              <w:right w:w="108" w:type="dxa"/>
            </w:tcMar>
            <w:vAlign w:val="center"/>
          </w:tcPr>
          <w:p w14:paraId="5D6534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C7F0E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4A8BE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07935D6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10B4EC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0716F6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58C203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94460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47765D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5FA660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2.重复申请</w:t>
            </w:r>
          </w:p>
        </w:tc>
        <w:tc>
          <w:tcPr>
            <w:tcW w:w="752" w:type="dxa"/>
            <w:shd w:val="clear" w:color="auto" w:fill="auto"/>
            <w:tcMar>
              <w:left w:w="108" w:type="dxa"/>
              <w:right w:w="108" w:type="dxa"/>
            </w:tcMar>
            <w:vAlign w:val="center"/>
          </w:tcPr>
          <w:p w14:paraId="69D3D7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6DD879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603403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544110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2DC505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6BC36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69D946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AC1B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2EE583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448C3D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3.要求提供公开出版物</w:t>
            </w:r>
          </w:p>
        </w:tc>
        <w:tc>
          <w:tcPr>
            <w:tcW w:w="752" w:type="dxa"/>
            <w:shd w:val="clear" w:color="auto" w:fill="auto"/>
            <w:tcMar>
              <w:left w:w="108" w:type="dxa"/>
              <w:right w:w="108" w:type="dxa"/>
            </w:tcMar>
            <w:vAlign w:val="center"/>
          </w:tcPr>
          <w:p w14:paraId="395002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84B68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0DD1BC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15DD4A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58B6EE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73EEB30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00B19B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8E07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79713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27D2E4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4.无正当理由大量反复申请</w:t>
            </w:r>
          </w:p>
        </w:tc>
        <w:tc>
          <w:tcPr>
            <w:tcW w:w="752" w:type="dxa"/>
            <w:shd w:val="clear" w:color="auto" w:fill="auto"/>
            <w:tcMar>
              <w:left w:w="108" w:type="dxa"/>
              <w:right w:w="108" w:type="dxa"/>
            </w:tcMar>
            <w:vAlign w:val="center"/>
          </w:tcPr>
          <w:p w14:paraId="2129B2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9FFAD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8A6F9B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26E101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220323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3F889C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4F06DE5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6DFD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20E94E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2514" w:type="dxa"/>
            <w:shd w:val="clear" w:color="auto" w:fill="auto"/>
            <w:tcMar>
              <w:left w:w="108" w:type="dxa"/>
              <w:right w:w="108" w:type="dxa"/>
            </w:tcMar>
            <w:vAlign w:val="center"/>
          </w:tcPr>
          <w:p w14:paraId="2D33B5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5.要求行政机关确认或重新</w:t>
            </w:r>
          </w:p>
          <w:p w14:paraId="4C3AD8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出具已获取信息</w:t>
            </w:r>
          </w:p>
        </w:tc>
        <w:tc>
          <w:tcPr>
            <w:tcW w:w="752" w:type="dxa"/>
            <w:shd w:val="clear" w:color="auto" w:fill="auto"/>
            <w:tcMar>
              <w:left w:w="108" w:type="dxa"/>
              <w:right w:w="108" w:type="dxa"/>
            </w:tcMar>
            <w:vAlign w:val="center"/>
          </w:tcPr>
          <w:p w14:paraId="2DB8E9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70A016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BB77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398414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096AA7E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4058093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6F2BB6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FEB6AC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restart"/>
            <w:shd w:val="clear" w:color="auto" w:fill="auto"/>
            <w:tcMar>
              <w:left w:w="108" w:type="dxa"/>
              <w:right w:w="108" w:type="dxa"/>
            </w:tcMar>
            <w:vAlign w:val="center"/>
          </w:tcPr>
          <w:p w14:paraId="3795D4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（六）其他处理</w:t>
            </w:r>
          </w:p>
        </w:tc>
        <w:tc>
          <w:tcPr>
            <w:tcW w:w="2514" w:type="dxa"/>
            <w:shd w:val="clear" w:color="auto" w:fill="auto"/>
            <w:vAlign w:val="center"/>
          </w:tcPr>
          <w:p w14:paraId="534C45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2"/>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1"/>
                <w:szCs w:val="22"/>
                <w:lang w:eastAsia="zh-CN" w:bidi="ar-SA"/>
                <w14:textFill>
                  <w14:solidFill>
                    <w14:schemeClr w14:val="tx1"/>
                  </w14:solidFill>
                </w14:textFill>
              </w:rPr>
              <w:t>1.申请人无正当理由逾期不补正、行政机关不再处理其政府信息公开申请</w:t>
            </w:r>
          </w:p>
        </w:tc>
        <w:tc>
          <w:tcPr>
            <w:tcW w:w="752" w:type="dxa"/>
            <w:shd w:val="clear" w:color="auto" w:fill="auto"/>
            <w:tcMar>
              <w:left w:w="108" w:type="dxa"/>
              <w:right w:w="108" w:type="dxa"/>
            </w:tcMar>
            <w:vAlign w:val="center"/>
          </w:tcPr>
          <w:p w14:paraId="5822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43CA1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E2B04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16058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4BDA70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55F775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09289A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E97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6D0929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p>
        </w:tc>
        <w:tc>
          <w:tcPr>
            <w:tcW w:w="2514" w:type="dxa"/>
            <w:shd w:val="clear" w:color="auto" w:fill="auto"/>
            <w:vAlign w:val="center"/>
          </w:tcPr>
          <w:p w14:paraId="620957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1"/>
                <w:szCs w:val="22"/>
                <w:lang w:eastAsia="zh-CN" w:bidi="ar-SA"/>
                <w14:textFill>
                  <w14:solidFill>
                    <w14:schemeClr w14:val="tx1"/>
                  </w14:solidFill>
                </w14:textFill>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00534CA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6C468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5796E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92913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12FC46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AB216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1513B7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5E3AA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2"/>
                <w:sz w:val="21"/>
                <w:szCs w:val="21"/>
                <w:lang w:eastAsia="zh-CN" w:bidi="ar-SA"/>
                <w14:textFill>
                  <w14:solidFill>
                    <w14:schemeClr w14:val="tx1"/>
                  </w14:solidFill>
                </w14:textFill>
              </w:rPr>
            </w:pPr>
          </w:p>
        </w:tc>
        <w:tc>
          <w:tcPr>
            <w:tcW w:w="1082" w:type="dxa"/>
            <w:vMerge w:val="continue"/>
            <w:shd w:val="clear" w:color="auto" w:fill="auto"/>
            <w:tcMar>
              <w:left w:w="108" w:type="dxa"/>
              <w:right w:w="108" w:type="dxa"/>
            </w:tcMar>
            <w:vAlign w:val="center"/>
          </w:tcPr>
          <w:p w14:paraId="1D9574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p>
        </w:tc>
        <w:tc>
          <w:tcPr>
            <w:tcW w:w="2514" w:type="dxa"/>
            <w:shd w:val="clear" w:color="auto" w:fill="auto"/>
            <w:vAlign w:val="center"/>
          </w:tcPr>
          <w:p w14:paraId="1B06D8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1"/>
                <w:szCs w:val="22"/>
                <w:lang w:eastAsia="zh-CN" w:bidi="ar-SA"/>
                <w14:textFill>
                  <w14:solidFill>
                    <w14:schemeClr w14:val="tx1"/>
                  </w14:solidFill>
                </w14:textFill>
              </w:rPr>
              <w:t>3.其他</w:t>
            </w:r>
          </w:p>
        </w:tc>
        <w:tc>
          <w:tcPr>
            <w:tcW w:w="752" w:type="dxa"/>
            <w:shd w:val="clear" w:color="auto" w:fill="auto"/>
            <w:tcMar>
              <w:left w:w="108" w:type="dxa"/>
              <w:right w:w="108" w:type="dxa"/>
            </w:tcMar>
            <w:vAlign w:val="center"/>
          </w:tcPr>
          <w:p w14:paraId="64DBBF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BE2F6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2A7E65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63D1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3211D9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1489E3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03EF2A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0433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bCs w:val="0"/>
                <w:color w:val="000000" w:themeColor="text1"/>
                <w:kern w:val="2"/>
                <w:sz w:val="21"/>
                <w:szCs w:val="21"/>
                <w:lang w:eastAsia="zh-CN" w:bidi="ar-SA"/>
                <w14:textFill>
                  <w14:solidFill>
                    <w14:schemeClr w14:val="tx1"/>
                  </w14:solidFill>
                </w14:textFill>
              </w:rPr>
            </w:pPr>
          </w:p>
        </w:tc>
        <w:tc>
          <w:tcPr>
            <w:tcW w:w="2514" w:type="dxa"/>
            <w:gridSpan w:val="2"/>
            <w:shd w:val="clear" w:color="auto" w:fill="auto"/>
            <w:tcMar>
              <w:left w:w="108" w:type="dxa"/>
              <w:right w:w="108" w:type="dxa"/>
            </w:tcMar>
            <w:vAlign w:val="center"/>
          </w:tcPr>
          <w:p w14:paraId="6E4B35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0"/>
                <w:sz w:val="21"/>
                <w:szCs w:val="21"/>
                <w:lang w:eastAsia="zh-CN" w:bidi="ar-SA"/>
                <w14:textFill>
                  <w14:solidFill>
                    <w14:schemeClr w14:val="tx1"/>
                  </w14:solidFill>
                </w14:textFill>
              </w:rPr>
              <w:t>（七）总计</w:t>
            </w:r>
          </w:p>
        </w:tc>
        <w:tc>
          <w:tcPr>
            <w:tcW w:w="752" w:type="dxa"/>
            <w:shd w:val="clear" w:color="auto" w:fill="auto"/>
            <w:tcMar>
              <w:left w:w="108" w:type="dxa"/>
              <w:right w:w="108" w:type="dxa"/>
            </w:tcMar>
            <w:vAlign w:val="center"/>
          </w:tcPr>
          <w:p w14:paraId="2FA580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2</w:t>
            </w:r>
          </w:p>
        </w:tc>
        <w:tc>
          <w:tcPr>
            <w:tcW w:w="690" w:type="dxa"/>
            <w:shd w:val="clear" w:color="auto" w:fill="auto"/>
            <w:tcMar>
              <w:left w:w="108" w:type="dxa"/>
              <w:right w:w="108" w:type="dxa"/>
            </w:tcMar>
            <w:vAlign w:val="center"/>
          </w:tcPr>
          <w:p w14:paraId="62A1C3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1BAE0FC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31A3C6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35981E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513E67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5079EA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bCs w:val="0"/>
                <w:color w:val="000000" w:themeColor="text1"/>
                <w:kern w:val="2"/>
                <w:sz w:val="21"/>
                <w:szCs w:val="21"/>
                <w:lang w:val="en-US" w:eastAsia="zh-CN" w:bidi="ar-SA"/>
                <w14:textFill>
                  <w14:solidFill>
                    <w14:schemeClr w14:val="tx1"/>
                  </w14:solidFill>
                </w14:textFill>
              </w:rPr>
              <w:t>2</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731A5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eastAsia="zh-CN" w:bidi="ar-SA"/>
                <w14:textFill>
                  <w14:solidFill>
                    <w14:schemeClr w14:val="tx1"/>
                  </w14:solidFill>
                </w14:textFill>
              </w:rPr>
              <w:t>四、结转下年度继续办理</w:t>
            </w:r>
          </w:p>
        </w:tc>
        <w:tc>
          <w:tcPr>
            <w:tcW w:w="752" w:type="dxa"/>
            <w:shd w:val="clear" w:color="auto" w:fill="auto"/>
            <w:tcMar>
              <w:left w:w="108" w:type="dxa"/>
              <w:right w:w="108" w:type="dxa"/>
            </w:tcMar>
            <w:vAlign w:val="center"/>
          </w:tcPr>
          <w:p w14:paraId="2E1C3E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7B1F033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690" w:type="dxa"/>
            <w:shd w:val="clear" w:color="auto" w:fill="auto"/>
            <w:tcMar>
              <w:left w:w="108" w:type="dxa"/>
              <w:right w:w="108" w:type="dxa"/>
            </w:tcMar>
            <w:vAlign w:val="center"/>
          </w:tcPr>
          <w:p w14:paraId="3152C9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895" w:type="dxa"/>
            <w:shd w:val="clear" w:color="auto" w:fill="auto"/>
            <w:tcMar>
              <w:left w:w="108" w:type="dxa"/>
              <w:right w:w="108" w:type="dxa"/>
            </w:tcMar>
            <w:vAlign w:val="center"/>
          </w:tcPr>
          <w:p w14:paraId="4F7774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724" w:type="dxa"/>
            <w:shd w:val="clear" w:color="auto" w:fill="auto"/>
            <w:tcMar>
              <w:left w:w="108" w:type="dxa"/>
              <w:right w:w="108" w:type="dxa"/>
            </w:tcMar>
            <w:vAlign w:val="center"/>
          </w:tcPr>
          <w:p w14:paraId="51F298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89" w:type="dxa"/>
            <w:shd w:val="clear" w:color="auto" w:fill="auto"/>
            <w:tcMar>
              <w:left w:w="108" w:type="dxa"/>
              <w:right w:w="108" w:type="dxa"/>
            </w:tcMar>
            <w:vAlign w:val="center"/>
          </w:tcPr>
          <w:p w14:paraId="62DA0B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c>
          <w:tcPr>
            <w:tcW w:w="491" w:type="dxa"/>
            <w:shd w:val="clear" w:color="auto" w:fill="auto"/>
            <w:tcMar>
              <w:left w:w="108" w:type="dxa"/>
              <w:right w:w="108" w:type="dxa"/>
            </w:tcMar>
            <w:vAlign w:val="center"/>
          </w:tcPr>
          <w:p w14:paraId="26B083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b w:val="0"/>
                <w:bCs w:val="0"/>
                <w:color w:val="000000" w:themeColor="text1"/>
                <w:kern w:val="2"/>
                <w:sz w:val="21"/>
                <w:szCs w:val="21"/>
                <w:lang w:val="en-US" w:eastAsia="zh-CN" w:bidi="ar-SA"/>
                <w14:textFill>
                  <w14:solidFill>
                    <w14:schemeClr w14:val="tx1"/>
                  </w14:solidFill>
                </w14:textFill>
              </w:rPr>
              <w:t>0</w:t>
            </w:r>
          </w:p>
        </w:tc>
      </w:tr>
    </w:tbl>
    <w:p w14:paraId="5826A8D6">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b w:val="0"/>
          <w:bCs w:val="0"/>
          <w:color w:val="000000" w:themeColor="text1"/>
          <w:sz w:val="32"/>
          <w:szCs w:val="32"/>
          <w14:textFill>
            <w14:solidFill>
              <w14:schemeClr w14:val="tx1"/>
            </w14:solidFill>
          </w14:textFill>
        </w:rPr>
        <w:t>政府信息公开行政复议、行政诉讼情况</w:t>
      </w:r>
    </w:p>
    <w:p w14:paraId="45920097">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p>
    <w:tbl>
      <w:tblPr>
        <w:tblStyle w:val="6"/>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10"/>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总计</w:t>
            </w:r>
          </w:p>
        </w:tc>
        <w:tc>
          <w:tcPr>
            <w:tcW w:w="1667" w:type="pct"/>
            <w:gridSpan w:val="5"/>
            <w:tcBorders>
              <w:top w:val="single" w:color="auto" w:sz="4" w:space="0"/>
              <w:left w:val="single" w:color="auto" w:sz="4" w:space="0"/>
            </w:tcBorders>
            <w:shd w:val="clear" w:color="auto" w:fill="FFFFFF"/>
            <w:vAlign w:val="center"/>
          </w:tcPr>
          <w:p w14:paraId="44DEE3D9">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p>
        </w:tc>
        <w:tc>
          <w:tcPr>
            <w:tcW w:w="329" w:type="pct"/>
            <w:tcBorders>
              <w:top w:val="single" w:color="auto" w:sz="4" w:space="0"/>
              <w:left w:val="single" w:color="auto" w:sz="4" w:space="0"/>
            </w:tcBorders>
            <w:shd w:val="clear" w:color="auto" w:fill="FFFFFF"/>
            <w:vAlign w:val="center"/>
          </w:tcPr>
          <w:p w14:paraId="689673BA">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维持</w:t>
            </w:r>
          </w:p>
        </w:tc>
        <w:tc>
          <w:tcPr>
            <w:tcW w:w="329" w:type="pct"/>
            <w:tcBorders>
              <w:top w:val="single" w:color="auto" w:sz="4" w:space="0"/>
              <w:left w:val="single" w:color="auto" w:sz="4" w:space="0"/>
            </w:tcBorders>
            <w:shd w:val="clear" w:color="auto" w:fill="FFFFFF"/>
            <w:vAlign w:val="center"/>
          </w:tcPr>
          <w:p w14:paraId="23CE70FA">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纠正</w:t>
            </w:r>
          </w:p>
        </w:tc>
        <w:tc>
          <w:tcPr>
            <w:tcW w:w="329" w:type="pct"/>
            <w:tcBorders>
              <w:top w:val="single" w:color="auto" w:sz="4" w:space="0"/>
              <w:left w:val="single" w:color="auto" w:sz="4" w:space="0"/>
            </w:tcBorders>
            <w:shd w:val="clear" w:color="auto" w:fill="FFFFFF"/>
            <w:vAlign w:val="center"/>
          </w:tcPr>
          <w:p w14:paraId="7A49F8F8">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 结果</w:t>
            </w:r>
          </w:p>
        </w:tc>
        <w:tc>
          <w:tcPr>
            <w:tcW w:w="329" w:type="pct"/>
            <w:tcBorders>
              <w:top w:val="single" w:color="auto" w:sz="4" w:space="0"/>
              <w:left w:val="single" w:color="auto" w:sz="4" w:space="0"/>
            </w:tcBorders>
            <w:shd w:val="clear" w:color="auto" w:fill="FFFFFF"/>
            <w:vAlign w:val="center"/>
          </w:tcPr>
          <w:p w14:paraId="14A68D93">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尚未 审结</w:t>
            </w:r>
          </w:p>
        </w:tc>
        <w:tc>
          <w:tcPr>
            <w:tcW w:w="351" w:type="pct"/>
            <w:tcBorders>
              <w:top w:val="single" w:color="auto" w:sz="4" w:space="0"/>
              <w:left w:val="single" w:color="auto" w:sz="4" w:space="0"/>
            </w:tcBorders>
            <w:shd w:val="clear" w:color="auto" w:fill="FFFFFF"/>
            <w:textDirection w:val="tbRlV"/>
          </w:tcPr>
          <w:p w14:paraId="0FA551A1">
            <w:pPr>
              <w:pStyle w:val="10"/>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总计</w:t>
            </w:r>
          </w:p>
        </w:tc>
        <w:tc>
          <w:tcPr>
            <w:tcW w:w="329" w:type="pct"/>
            <w:tcBorders>
              <w:top w:val="single" w:color="auto" w:sz="4" w:space="0"/>
              <w:left w:val="single" w:color="auto" w:sz="4" w:space="0"/>
            </w:tcBorders>
            <w:shd w:val="clear" w:color="auto" w:fill="FFFFFF"/>
            <w:vAlign w:val="center"/>
          </w:tcPr>
          <w:p w14:paraId="1F1989DD">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维持</w:t>
            </w:r>
          </w:p>
        </w:tc>
        <w:tc>
          <w:tcPr>
            <w:tcW w:w="329" w:type="pct"/>
            <w:tcBorders>
              <w:top w:val="single" w:color="auto" w:sz="4" w:space="0"/>
              <w:left w:val="single" w:color="auto" w:sz="4" w:space="0"/>
            </w:tcBorders>
            <w:shd w:val="clear" w:color="auto" w:fill="FFFFFF"/>
            <w:vAlign w:val="center"/>
          </w:tcPr>
          <w:p w14:paraId="287E52C3">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结果 纠正</w:t>
            </w:r>
          </w:p>
        </w:tc>
        <w:tc>
          <w:tcPr>
            <w:tcW w:w="329" w:type="pct"/>
            <w:tcBorders>
              <w:top w:val="single" w:color="auto" w:sz="4" w:space="0"/>
              <w:left w:val="single" w:color="auto" w:sz="4" w:space="0"/>
            </w:tcBorders>
            <w:shd w:val="clear" w:color="auto" w:fill="FFFFFF"/>
            <w:vAlign w:val="center"/>
          </w:tcPr>
          <w:p w14:paraId="09AA3892">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 结果</w:t>
            </w:r>
          </w:p>
        </w:tc>
        <w:tc>
          <w:tcPr>
            <w:tcW w:w="329" w:type="pct"/>
            <w:tcBorders>
              <w:top w:val="single" w:color="auto" w:sz="4" w:space="0"/>
              <w:left w:val="single" w:color="auto" w:sz="4" w:space="0"/>
            </w:tcBorders>
            <w:shd w:val="clear" w:color="auto" w:fill="FFFFFF"/>
            <w:vAlign w:val="center"/>
          </w:tcPr>
          <w:p w14:paraId="093F2392">
            <w:pPr>
              <w:pStyle w:val="12"/>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pStyle w:val="10"/>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48"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3</w:t>
            </w:r>
          </w:p>
        </w:tc>
        <w:tc>
          <w:tcPr>
            <w:tcW w:w="329"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51"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3</w:t>
            </w:r>
          </w:p>
        </w:tc>
        <w:tc>
          <w:tcPr>
            <w:tcW w:w="329"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eastAsia="宋体" w:cs="Times New Roman"/>
                <w:b w:val="0"/>
                <w:bCs w:val="0"/>
                <w:color w:val="000000" w:themeColor="text1"/>
                <w:sz w:val="28"/>
                <w:szCs w:val="28"/>
                <w:lang w:val="en-US" w:eastAsia="zh-CN"/>
                <w14:textFill>
                  <w14:solidFill>
                    <w14:schemeClr w14:val="tx1"/>
                  </w14:solidFill>
                </w14:textFill>
              </w:rPr>
              <w:t>0</w:t>
            </w:r>
          </w:p>
        </w:tc>
      </w:tr>
    </w:tbl>
    <w:p w14:paraId="4C42B7E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t>五、</w:t>
      </w:r>
      <w:r>
        <w:rPr>
          <w:rFonts w:hint="default" w:ascii="Times New Roman" w:hAnsi="Times New Roman" w:eastAsia="黑体" w:cs="Times New Roman"/>
          <w:b w:val="0"/>
          <w:bCs w:val="0"/>
          <w:color w:val="000000" w:themeColor="text1"/>
          <w:sz w:val="32"/>
          <w:szCs w:val="32"/>
          <w:lang w:eastAsia="zh-CN" w:bidi="ar-SA"/>
          <w14:textFill>
            <w14:solidFill>
              <w14:schemeClr w14:val="tx1"/>
            </w14:solidFill>
          </w14:textFill>
        </w:rPr>
        <w:t>存在的主要问题及改进情况</w:t>
      </w:r>
    </w:p>
    <w:p w14:paraId="3DA74F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t>（一）2024年存在问题整改情况</w:t>
      </w:r>
    </w:p>
    <w:p w14:paraId="3E3DC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14:textFill>
            <w14:solidFill>
              <w14:schemeClr w14:val="tx1"/>
            </w14:solidFill>
          </w14:textFill>
        </w:rPr>
        <w:t>建立时限机制，提升公开时效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制定《市中区民政局政务公开和新媒体平台信息发布制度》，明确各类政务信息公开时限标准。优化内部审核流转流程，设立专人负责，对超时未公开事项及时提醒。</w:t>
      </w:r>
    </w:p>
    <w:p w14:paraId="7351ED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14:textFill>
            <w14:solidFill>
              <w14:schemeClr w14:val="tx1"/>
            </w14:solidFill>
          </w14:textFill>
        </w:rPr>
        <w:t>规范公开内容，强化解读回应</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统一信息公开核心要素，确保内容完整、表述清晰。畅通政务服务热线、网站留言板等互动渠道，对公众疑问及时予以答复，提升信息可读性和实用性。</w:t>
      </w:r>
    </w:p>
    <w:p w14:paraId="508400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14:textFill>
            <w14:solidFill>
              <w14:schemeClr w14:val="tx1"/>
            </w14:solidFill>
          </w14:textFill>
        </w:rPr>
        <w:t>拓宽公开渠道，提升获取便捷度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构建“线上+线下”公开矩阵，线上优化政府网站、微信公众号等平台功能，线下在政务服务大厅设置查询专区。通过社区公告、窗口告知等方式宣传获取渠道，定期收集公众意见优化服务，让公众便捷获取公开信息。</w:t>
      </w:r>
    </w:p>
    <w:p w14:paraId="7625FC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t>（二）2025年存在问题</w:t>
      </w:r>
    </w:p>
    <w:p w14:paraId="317440EF">
      <w:pPr>
        <w:keepNext w:val="0"/>
        <w:keepLines w:val="0"/>
        <w:widowControl/>
        <w:suppressLineNumbers w:val="0"/>
        <w:ind w:firstLine="640" w:firstLineChars="200"/>
        <w:jc w:val="left"/>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一是政策解读通俗化程度不足。对社会救助政策调整、养老服务新规等民生相关政策，解读形式多为文字说明，缺乏案例分析、图文图解、视频讲解等通俗化形式，专业术语使用较多，老年人、文化程度较低等群体理解困难，政策知晓率和理解度偏低。</w:t>
      </w:r>
    </w:p>
    <w:p w14:paraId="6F966EEC">
      <w:pPr>
        <w:keepNext w:val="0"/>
        <w:keepLines w:val="0"/>
        <w:widowControl/>
        <w:suppressLineNumbers w:val="0"/>
        <w:ind w:firstLine="640" w:firstLineChars="200"/>
        <w:jc w:val="left"/>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二是公开内容民生针对性薄弱。公开信息多聚焦宏观工作部署，对群众高频关切的低保申领、养老服务补贴、殡葬服务规范等民生事项，公开内容笼统简略，缺乏具体操作细节、材料清单、办理时限等核心要素，导致公众难以快速获取关键诉求信息。</w:t>
      </w:r>
    </w:p>
    <w:p w14:paraId="2697AD53">
      <w:pPr>
        <w:keepNext w:val="0"/>
        <w:keepLines w:val="0"/>
        <w:widowControl/>
        <w:suppressLineNumbers w:val="0"/>
        <w:ind w:firstLine="640" w:firstLineChars="200"/>
        <w:jc w:val="left"/>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三是特殊群体获取渠道适配性差。公开信息主要以线上网页、文字形式呈现，未充分考虑老年人、残疾人等特殊群体需求，缺乏大字版手册、语音播报、线下专人协助等适配服务，导致特殊群体获取政务信息存在障碍。</w:t>
      </w:r>
    </w:p>
    <w:p w14:paraId="34C18A5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t>（三）改进措施</w:t>
      </w:r>
    </w:p>
    <w:p w14:paraId="49F90F29">
      <w:pPr>
        <w:keepNext w:val="0"/>
        <w:keepLines w:val="0"/>
        <w:widowControl/>
        <w:suppressLineNumbers w:val="0"/>
        <w:ind w:firstLine="640" w:firstLineChars="200"/>
        <w:jc w:val="left"/>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一是</w:t>
      </w:r>
      <w:r>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丰富解读形式，提升政策传播</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实效。</w:t>
      </w:r>
      <w:r>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构建“文字+图文+视频+案例”多维解读体系，对重大政策同步制作“一图读懂”图解和短视频解读；</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线下</w:t>
      </w:r>
      <w:r>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通过“政务开放日”“</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集中帮办日</w:t>
      </w:r>
      <w:r>
        <w:rPr>
          <w:rFonts w:hint="default"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”等形式开展面对面解读；线上开设“民政政策微课堂”，形成“发布—解读—互动”闭环。</w:t>
      </w:r>
    </w:p>
    <w:p w14:paraId="279FD4B3">
      <w:pPr>
        <w:keepNext w:val="0"/>
        <w:keepLines w:val="0"/>
        <w:widowControl/>
        <w:suppressLineNumbers w:val="0"/>
        <w:ind w:firstLine="640" w:firstLineChars="200"/>
        <w:jc w:val="left"/>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二是精准聚焦民生需求，优化公开内容供给。梳理群众咨询热点，建立“民生重点事项清单”，涵盖社会救助、养老服务等核心事项，明确每项事项的公开要素，编制分场景便民指南，采用图文结合形式细化操作流程。</w:t>
      </w:r>
    </w:p>
    <w:p w14:paraId="4E6BE87C">
      <w:pPr>
        <w:keepNext w:val="0"/>
        <w:keepLines w:val="0"/>
        <w:widowControl/>
        <w:suppressLineNumbers w:val="0"/>
        <w:ind w:firstLine="640" w:firstLineChars="200"/>
        <w:jc w:val="left"/>
        <w:rPr>
          <w:rFonts w:hint="default" w:ascii="Times New Roman" w:hAnsi="Times New Roman" w:eastAsia="黑体" w:cs="Times New Roman"/>
          <w:b w:val="0"/>
          <w:bCs w:val="0"/>
          <w:color w:val="000000" w:themeColor="text1"/>
          <w:sz w:val="32"/>
          <w:szCs w:val="32"/>
          <w:lang w:val="en-US" w:eastAsia="zh-CN" w:bidi="zh-TW"/>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三是优化适配服务，保障特殊群体获取权益。线下在政务服务大厅、社区服务中心设立便民服务点，线上优化平台功能，联合社区、养老机构等定向推送适配信息，拓宽特殊群体获取渠道。</w:t>
      </w:r>
    </w:p>
    <w:p w14:paraId="57E0F9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b w:val="0"/>
          <w:bCs w:val="0"/>
          <w:color w:val="000000" w:themeColor="text1"/>
          <w:sz w:val="32"/>
          <w:szCs w:val="32"/>
          <w:lang w:eastAsia="zh-CN" w:bidi="zh-TW"/>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zh-TW"/>
          <w14:textFill>
            <w14:solidFill>
              <w14:schemeClr w14:val="tx1"/>
            </w14:solidFill>
          </w14:textFill>
        </w:rPr>
        <w:t>六、</w:t>
      </w:r>
      <w:r>
        <w:rPr>
          <w:rFonts w:hint="default" w:ascii="Times New Roman" w:hAnsi="Times New Roman" w:eastAsia="黑体" w:cs="Times New Roman"/>
          <w:b w:val="0"/>
          <w:bCs w:val="0"/>
          <w:color w:val="000000" w:themeColor="text1"/>
          <w:sz w:val="32"/>
          <w:szCs w:val="32"/>
          <w:lang w:eastAsia="zh-CN" w:bidi="zh-TW"/>
          <w14:textFill>
            <w14:solidFill>
              <w14:schemeClr w14:val="tx1"/>
            </w14:solidFill>
          </w14:textFill>
        </w:rPr>
        <w:t>其他需要报告的事项</w:t>
      </w:r>
    </w:p>
    <w:p w14:paraId="508BB5C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b/>
          <w:bCs/>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（一）收取信息处理费的情况</w:t>
      </w:r>
    </w:p>
    <w:p w14:paraId="316BF9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本年度依申请公开政府信息未收取任何费用。</w:t>
      </w:r>
    </w:p>
    <w:p w14:paraId="35F1F67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（二）落实上级年度政务公开工作要点情况</w:t>
      </w:r>
    </w:p>
    <w:p w14:paraId="5EF20F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围绕重点领域信息公开、政策发布解读与回应、政民互动、基层政务公开标准化规范化建设和工作保障和落实逐项明确责任主体。</w:t>
      </w:r>
    </w:p>
    <w:p w14:paraId="23595C9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（三）人大代表建议和政协委员提案办理情况</w:t>
      </w:r>
    </w:p>
    <w:p w14:paraId="30003CA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w:t>
      </w:r>
      <w:r>
        <w:rPr>
          <w:rFonts w:hint="eastAsia"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年，区民政局共承办区人大代表建议</w:t>
      </w:r>
      <w:r>
        <w:rPr>
          <w:rFonts w:hint="eastAsia"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件，其中主办2件，协办3件</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办复率100%；承办区政协提案</w:t>
      </w:r>
      <w:r>
        <w:rPr>
          <w:rFonts w:hint="eastAsia"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件，主办3件</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办复率100%。办理结果已在市中区人民政府网站公开。</w:t>
      </w:r>
    </w:p>
    <w:p w14:paraId="76FE6F0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（四）本行政机关年度政务公开工作创新情况</w:t>
      </w:r>
    </w:p>
    <w:p w14:paraId="1EA2E80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强化组织保障，压实工作责任</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适时调整局政务公开工作领导小组，明确两名工作人员互为AB角，确保政务公开工作有人抓、有人管，推动责任落地见效。</w:t>
      </w:r>
    </w:p>
    <w:p w14:paraId="1B8577B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优化公开流程，提升服务精准度</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出台《市中区民政局政务公开和新媒体平台信息发布制度》，</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规范行政信息公开管理，优化公开流程，强化民政领域精准化服务供给。</w:t>
      </w:r>
    </w:p>
    <w:p w14:paraId="314C821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拓宽宣传渠道，保障知情权益</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依托“枣庄市中民政”微信公众号，常态化推送政府信息，加大政务公开工作推广力度，切实保障公众知情权。</w:t>
      </w:r>
    </w:p>
    <w:p w14:paraId="300344B4">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四是</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开展开放活动，增强公开实效</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举办“</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政府开放月</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”活动，邀请群众代表、媒体走进民政服务机构，实地观摩业务流程，现场解读政策、答疑解惑，提升政务公开公信力。</w:t>
      </w:r>
    </w:p>
    <w:p w14:paraId="6A28255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（五）其他需要报告事项</w:t>
      </w:r>
    </w:p>
    <w:p w14:paraId="31FBD98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无。</w:t>
      </w:r>
    </w:p>
    <w:p w14:paraId="7C3E4AD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本报告所列数据的统计时限自202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年1月1日</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起</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至202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年12月31日</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止</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。如对本报告有疑问，可与</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区民政局</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联系（地址</w:t>
      </w:r>
      <w:r>
        <w:rPr>
          <w:rFonts w:hint="eastAsia"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枣庄市市中区</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胜利中路16号，邮编：</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277100</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，电话：</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0632-3319059</w:t>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电子邮箱：</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fldChar w:fldCharType="begin"/>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instrText xml:space="preserve"> HYPERLINK "mailto:htqzfzwgkk@wf.shandong.cn%E3%80%82" </w:instrTex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fldChar w:fldCharType="separate"/>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zzsszqmzjadmin@zz.shandong.cn</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fldChar w:fldCharType="end"/>
      </w:r>
      <w:r>
        <w:rPr>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w:t>
      </w:r>
    </w:p>
    <w:p w14:paraId="3B0CF269">
      <w:pPr>
        <w:keepNext w:val="0"/>
        <w:keepLines w:val="0"/>
        <w:pageBreakBefore w:val="0"/>
        <w:widowControl/>
        <w:kinsoku/>
        <w:wordWrap/>
        <w:overflowPunct/>
        <w:topLinePunct w:val="0"/>
        <w:autoSpaceDE/>
        <w:autoSpaceDN/>
        <w:bidi w:val="0"/>
        <w:adjustRightInd/>
        <w:snapToGrid/>
        <w:spacing w:line="560" w:lineRule="exact"/>
        <w:contextualSpacing/>
        <w:jc w:val="both"/>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p>
    <w:p w14:paraId="6E98003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市中区民政局</w:t>
      </w:r>
    </w:p>
    <w:p w14:paraId="6E7026B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cs="Times New Roman" w:eastAsiaTheme="minorEastAsia"/>
          <w:b w:val="0"/>
          <w:bCs w:val="0"/>
          <w:color w:val="000000" w:themeColor="text1"/>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202</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年1月</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087931-E0CA-4BE0-BB0D-5D08CE1276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7E941D8-3BAD-4830-A1E9-E7DD33A4F47D}"/>
  </w:font>
  <w:font w:name="仿宋_GB2312">
    <w:panose1 w:val="02010609030101010101"/>
    <w:charset w:val="86"/>
    <w:family w:val="modern"/>
    <w:pitch w:val="default"/>
    <w:sig w:usb0="00000001" w:usb1="080E0000" w:usb2="00000000" w:usb3="00000000" w:csb0="00040000" w:csb1="00000000"/>
    <w:embedRegular r:id="rId3" w:fontKey="{1E0B21F7-2E3E-4AF7-BF8A-283502F516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4"/>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4"/>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8560D28"/>
    <w:rsid w:val="08F30F9E"/>
    <w:rsid w:val="0A3E1141"/>
    <w:rsid w:val="0B8F2AB2"/>
    <w:rsid w:val="0D426B65"/>
    <w:rsid w:val="0DB7343A"/>
    <w:rsid w:val="101A475B"/>
    <w:rsid w:val="15E57946"/>
    <w:rsid w:val="1AAF71B2"/>
    <w:rsid w:val="1B4D379A"/>
    <w:rsid w:val="1D276D79"/>
    <w:rsid w:val="1DC53412"/>
    <w:rsid w:val="1FD24907"/>
    <w:rsid w:val="2007106B"/>
    <w:rsid w:val="227F4F5F"/>
    <w:rsid w:val="24B65C7B"/>
    <w:rsid w:val="271F6DB2"/>
    <w:rsid w:val="28BE4FD8"/>
    <w:rsid w:val="29A25229"/>
    <w:rsid w:val="2A3246E6"/>
    <w:rsid w:val="2A366FA5"/>
    <w:rsid w:val="2A6E4A40"/>
    <w:rsid w:val="2B247393"/>
    <w:rsid w:val="2B7E7F7A"/>
    <w:rsid w:val="2E356016"/>
    <w:rsid w:val="34C27E73"/>
    <w:rsid w:val="372B44B7"/>
    <w:rsid w:val="37DD4F2A"/>
    <w:rsid w:val="3CA63654"/>
    <w:rsid w:val="424E6C95"/>
    <w:rsid w:val="42962A0C"/>
    <w:rsid w:val="43677CBB"/>
    <w:rsid w:val="43F955DA"/>
    <w:rsid w:val="46001285"/>
    <w:rsid w:val="4A263FB9"/>
    <w:rsid w:val="4BE16E0F"/>
    <w:rsid w:val="4F1B009D"/>
    <w:rsid w:val="4FCD042A"/>
    <w:rsid w:val="50F11EF6"/>
    <w:rsid w:val="53514031"/>
    <w:rsid w:val="56BC4C21"/>
    <w:rsid w:val="56C8194B"/>
    <w:rsid w:val="58943E35"/>
    <w:rsid w:val="5A891C07"/>
    <w:rsid w:val="5AE6494C"/>
    <w:rsid w:val="5CBB219C"/>
    <w:rsid w:val="5E6D3270"/>
    <w:rsid w:val="5EA95810"/>
    <w:rsid w:val="5F3833E6"/>
    <w:rsid w:val="628D192B"/>
    <w:rsid w:val="62A02DE5"/>
    <w:rsid w:val="62DF0CAC"/>
    <w:rsid w:val="63F024E1"/>
    <w:rsid w:val="64490C92"/>
    <w:rsid w:val="683119D5"/>
    <w:rsid w:val="699619EE"/>
    <w:rsid w:val="6A2904FB"/>
    <w:rsid w:val="6CCF664D"/>
    <w:rsid w:val="6E4C3FF9"/>
    <w:rsid w:val="6EC52406"/>
    <w:rsid w:val="71080E6A"/>
    <w:rsid w:val="716632E1"/>
    <w:rsid w:val="71742F46"/>
    <w:rsid w:val="72BB477E"/>
    <w:rsid w:val="743334DA"/>
    <w:rsid w:val="754C48A1"/>
    <w:rsid w:val="79390A27"/>
    <w:rsid w:val="797F1EE5"/>
    <w:rsid w:val="7CC55E61"/>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pPr>
    <w:rPr>
      <w:rFonts w:ascii="宋体" w:hAnsi="宋体" w:cs="宋体"/>
    </w:rPr>
  </w:style>
  <w:style w:type="character" w:styleId="8">
    <w:name w:val="Hyperlink"/>
    <w:basedOn w:val="7"/>
    <w:semiHidden/>
    <w:unhideWhenUsed/>
    <w:qFormat/>
    <w:uiPriority w:val="99"/>
    <w:rPr>
      <w:color w:val="0000FF"/>
      <w:u w:val="single"/>
    </w:rPr>
  </w:style>
  <w:style w:type="paragraph" w:customStyle="1" w:styleId="9">
    <w:name w:val="Header or footer|1"/>
    <w:basedOn w:val="1"/>
    <w:qFormat/>
    <w:uiPriority w:val="0"/>
    <w:rPr>
      <w:sz w:val="26"/>
      <w:szCs w:val="26"/>
      <w:lang w:val="zh-TW" w:eastAsia="zh-TW" w:bidi="zh-TW"/>
    </w:rPr>
  </w:style>
  <w:style w:type="paragraph" w:customStyle="1" w:styleId="10">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1">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2">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0c0b6cdb-917d-4bfb-8d8f-6ff7314dc23e</errorID>
      <errorWord>《</errorWord>
      <group>L1_Punc</group>
      <groupName>标点问题</groupName>
      <ability>L2_Punc</ability>
      <abilityName>标点符号检查</abilityName>
      <candidateList/>
      <explain>同一形式括号套用。</explain>
      <paraID>6482A660</paraID>
      <start>42</start>
      <end>43</end>
      <status>unmodified</status>
      <modifiedWord/>
      <trackRevisions>false</trackRevisions>
    </reviewItem>
    <reviewItem>
      <errorID>af3b2e48-d21f-451a-8e37-bf69ca82c35c</errorID>
      <errorWord>》</errorWord>
      <group>L1_Punc</group>
      <groupName>标点问题</groupName>
      <ability>L2_Punc</ability>
      <abilityName>标点符号检查</abilityName>
      <candidateList/>
      <explain>同一形式括号套用。</explain>
      <paraID>6482A660</paraID>
      <start>64</start>
      <end>65</end>
      <status>unmodified</status>
      <modifiedWord/>
      <trackRevisions>false</trackRevisions>
    </reviewItem>
    <reviewItem>
      <errorID>875c19e5-f3fd-420f-a922-d057c0672171</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29d24c5a-62da-4708-b2c3-1c57135c4493</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3bc61-f1a8-4aa2-b2cf-58f0433a4985}">
  <ds:schemaRefs/>
</ds:datastoreItem>
</file>

<file path=docProps/app.xml><?xml version="1.0" encoding="utf-8"?>
<Properties xmlns="http://schemas.openxmlformats.org/officeDocument/2006/extended-properties" xmlns:vt="http://schemas.openxmlformats.org/officeDocument/2006/docPropsVTypes">
  <Template>Normal</Template>
  <Pages>9</Pages>
  <Words>2254</Words>
  <Characters>2377</Characters>
  <Lines>53</Lines>
  <Paragraphs>15</Paragraphs>
  <TotalTime>23</TotalTime>
  <ScaleCrop>false</ScaleCrop>
  <LinksUpToDate>false</LinksUpToDate>
  <CharactersWithSpaces>2382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2026-01-29T07:31:36Z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FF8E5E3020C2447DAFECF543822ADDA7_13</vt:lpwstr>
  </property>
</Properties>
</file>