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4A017">
      <w:pPr>
        <w:keepNext w:val="0"/>
        <w:keepLines w:val="0"/>
        <w:pageBreakBefore w:val="0"/>
        <w:widowControl w:val="0"/>
        <w:kinsoku/>
        <w:wordWrap w:val="0"/>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市中区住房和城乡建设局</w:t>
      </w:r>
    </w:p>
    <w:p w14:paraId="56DC9631">
      <w:pPr>
        <w:keepNext w:val="0"/>
        <w:keepLines w:val="0"/>
        <w:pageBreakBefore w:val="0"/>
        <w:widowControl w:val="0"/>
        <w:kinsoku/>
        <w:wordWrap w:val="0"/>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202</w:t>
      </w:r>
      <w:r>
        <w:rPr>
          <w:rFonts w:hint="eastAsia" w:eastAsia="方正小标宋简体" w:cs="Times New Roman"/>
          <w:b w:val="0"/>
          <w:bCs w:val="0"/>
          <w:color w:val="auto"/>
          <w:sz w:val="44"/>
          <w:szCs w:val="44"/>
          <w:lang w:val="en-US" w:eastAsia="zh-CN"/>
        </w:rPr>
        <w:t>5</w:t>
      </w:r>
      <w:r>
        <w:rPr>
          <w:rFonts w:hint="default" w:ascii="Times New Roman" w:hAnsi="Times New Roman" w:eastAsia="方正小标宋简体" w:cs="Times New Roman"/>
          <w:b w:val="0"/>
          <w:bCs w:val="0"/>
          <w:color w:val="auto"/>
          <w:sz w:val="44"/>
          <w:szCs w:val="44"/>
          <w:lang w:eastAsia="zh-CN"/>
        </w:rPr>
        <w:t>年政府信息公开工作年度报告</w:t>
      </w:r>
    </w:p>
    <w:p w14:paraId="721EE790">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p>
    <w:p w14:paraId="27D944E7">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color w:val="auto"/>
          <w:sz w:val="32"/>
          <w:szCs w:val="32"/>
          <w:shd w:val="clear" w:color="auto" w:fill="FFFFFF"/>
          <w:lang w:val="en-US" w:eastAsia="zh-CN"/>
        </w:rPr>
        <w:t>市中区住房和城乡建设局</w:t>
      </w:r>
      <w:r>
        <w:rPr>
          <w:rFonts w:hint="default" w:ascii="Times New Roman" w:hAnsi="Times New Roman" w:eastAsia="仿宋_GB2312" w:cs="Times New Roman"/>
          <w:color w:val="auto"/>
          <w:sz w:val="32"/>
          <w:szCs w:val="32"/>
          <w:shd w:val="clear" w:color="auto" w:fill="FFFFFF"/>
          <w:lang w:eastAsia="zh-CN"/>
        </w:rPr>
        <w:t>联系（地址：</w:t>
      </w:r>
      <w:r>
        <w:rPr>
          <w:rFonts w:hint="default" w:ascii="Times New Roman" w:hAnsi="Times New Roman" w:eastAsia="仿宋_GB2312" w:cs="Times New Roman"/>
          <w:color w:val="auto"/>
          <w:sz w:val="32"/>
          <w:szCs w:val="32"/>
          <w:shd w:val="clear" w:color="auto" w:fill="FFFFFF"/>
          <w:lang w:val="en-US" w:eastAsia="zh-CN"/>
        </w:rPr>
        <w:t>枣庄市市中区振兴中路23号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shd w:val="clear" w:color="auto" w:fill="FFFFFF"/>
          <w:lang w:val="en-US" w:eastAsia="zh-CN"/>
        </w:rPr>
        <w:t>3312315</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电子邮箱：szqzfhcxjsjadmin@zz.shandong.cn</w:t>
      </w:r>
      <w:r>
        <w:rPr>
          <w:rFonts w:hint="default" w:ascii="Times New Roman" w:hAnsi="Times New Roman" w:eastAsia="仿宋_GB2312" w:cs="Times New Roman"/>
          <w:color w:val="auto"/>
          <w:sz w:val="32"/>
          <w:szCs w:val="32"/>
          <w:shd w:val="clear" w:color="auto" w:fill="FFFFFF"/>
          <w:lang w:eastAsia="zh-CN"/>
        </w:rPr>
        <w:t>）。</w:t>
      </w:r>
    </w:p>
    <w:p w14:paraId="64BE99E2">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FFFFFF"/>
          <w:lang w:eastAsia="zh-CN"/>
        </w:rPr>
      </w:pPr>
      <w:r>
        <w:rPr>
          <w:rFonts w:hint="default" w:ascii="Times New Roman" w:hAnsi="Times New Roman" w:eastAsia="黑体" w:cs="Times New Roman"/>
          <w:color w:val="auto"/>
          <w:sz w:val="32"/>
          <w:szCs w:val="32"/>
          <w:highlight w:val="none"/>
          <w:shd w:val="clear" w:color="auto" w:fill="FFFFFF"/>
          <w:lang w:val="en-US" w:eastAsia="zh-CN"/>
        </w:rPr>
        <w:t>一、</w:t>
      </w:r>
      <w:r>
        <w:rPr>
          <w:rFonts w:hint="default" w:ascii="Times New Roman" w:hAnsi="Times New Roman" w:eastAsia="黑体" w:cs="Times New Roman"/>
          <w:color w:val="auto"/>
          <w:sz w:val="32"/>
          <w:szCs w:val="32"/>
          <w:highlight w:val="none"/>
          <w:shd w:val="clear" w:color="auto" w:fill="FFFFFF"/>
          <w:lang w:eastAsia="zh-CN"/>
        </w:rPr>
        <w:t>总体情况</w:t>
      </w:r>
    </w:p>
    <w:p w14:paraId="4B322C11">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val="en-US" w:eastAsia="zh-CN"/>
        </w:rPr>
        <w:t>年，市中区</w:t>
      </w:r>
      <w:r>
        <w:rPr>
          <w:rFonts w:hint="eastAsia" w:eastAsia="仿宋_GB2312" w:cs="Times New Roman"/>
          <w:color w:val="auto"/>
          <w:sz w:val="32"/>
          <w:szCs w:val="32"/>
          <w:highlight w:val="none"/>
          <w:shd w:val="clear" w:color="auto" w:fill="FFFFFF"/>
          <w:lang w:val="en-US" w:eastAsia="zh-CN"/>
        </w:rPr>
        <w:t>住房和城乡建设</w:t>
      </w:r>
      <w:r>
        <w:rPr>
          <w:rFonts w:hint="default" w:ascii="Times New Roman" w:hAnsi="Times New Roman" w:eastAsia="仿宋_GB2312" w:cs="Times New Roman"/>
          <w:color w:val="auto"/>
          <w:sz w:val="32"/>
          <w:szCs w:val="32"/>
          <w:highlight w:val="none"/>
          <w:shd w:val="clear" w:color="auto" w:fill="FFFFFF"/>
          <w:lang w:val="en-US" w:eastAsia="zh-CN"/>
        </w:rPr>
        <w:t>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4D451444">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val="0"/>
          <w:color w:val="auto"/>
          <w:sz w:val="32"/>
          <w:szCs w:val="32"/>
          <w:highlight w:val="none"/>
          <w:lang w:eastAsia="zh-CN"/>
        </w:rPr>
      </w:pPr>
      <w:r>
        <w:rPr>
          <w:rFonts w:hint="default" w:ascii="Times New Roman" w:hAnsi="Times New Roman" w:eastAsia="楷体_GB2312" w:cs="Times New Roman"/>
          <w:b/>
          <w:bCs w:val="0"/>
          <w:color w:val="auto"/>
          <w:sz w:val="32"/>
          <w:szCs w:val="32"/>
          <w:highlight w:val="none"/>
          <w:lang w:val="en-US" w:eastAsia="zh-CN"/>
        </w:rPr>
        <w:t>（一）</w:t>
      </w:r>
      <w:r>
        <w:rPr>
          <w:rFonts w:hint="default" w:ascii="Times New Roman" w:hAnsi="Times New Roman" w:eastAsia="楷体_GB2312" w:cs="Times New Roman"/>
          <w:b/>
          <w:bCs w:val="0"/>
          <w:color w:val="auto"/>
          <w:sz w:val="32"/>
          <w:szCs w:val="32"/>
          <w:highlight w:val="none"/>
          <w:lang w:eastAsia="zh-CN"/>
        </w:rPr>
        <w:t>主动公开</w:t>
      </w:r>
    </w:p>
    <w:p w14:paraId="0E5DEC30">
      <w:pPr>
        <w:pStyle w:val="3"/>
        <w:keepNext w:val="0"/>
        <w:keepLines w:val="0"/>
        <w:pageBreakBefore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bidi="en-US"/>
        </w:rPr>
      </w:pPr>
      <w:r>
        <w:rPr>
          <w:rFonts w:hint="default" w:ascii="Times New Roman" w:hAnsi="Times New Roman" w:eastAsia="仿宋_GB2312" w:cs="Times New Roman"/>
          <w:color w:val="auto"/>
          <w:kern w:val="0"/>
          <w:sz w:val="32"/>
          <w:szCs w:val="32"/>
          <w:highlight w:val="none"/>
          <w:shd w:val="clear" w:color="auto" w:fill="FFFFFF"/>
          <w:lang w:val="en-US" w:eastAsia="zh-CN" w:bidi="en-US"/>
        </w:rPr>
        <w:t>202</w:t>
      </w:r>
      <w:r>
        <w:rPr>
          <w:rFonts w:hint="eastAsia" w:ascii="Times New Roman" w:hAnsi="Times New Roman" w:eastAsia="仿宋_GB2312" w:cs="Times New Roman"/>
          <w:color w:val="auto"/>
          <w:kern w:val="0"/>
          <w:sz w:val="32"/>
          <w:szCs w:val="32"/>
          <w:highlight w:val="none"/>
          <w:shd w:val="clear" w:color="auto" w:fill="FFFFFF"/>
          <w:lang w:val="en-US" w:eastAsia="zh-CN" w:bidi="en-US"/>
        </w:rPr>
        <w:t>5</w:t>
      </w:r>
      <w:r>
        <w:rPr>
          <w:rFonts w:hint="default" w:ascii="Times New Roman" w:hAnsi="Times New Roman" w:eastAsia="仿宋_GB2312" w:cs="Times New Roman"/>
          <w:color w:val="auto"/>
          <w:kern w:val="0"/>
          <w:sz w:val="32"/>
          <w:szCs w:val="32"/>
          <w:highlight w:val="none"/>
          <w:shd w:val="clear" w:color="auto" w:fill="FFFFFF"/>
          <w:lang w:val="en-US" w:eastAsia="zh-CN" w:bidi="en-US"/>
        </w:rPr>
        <w:t>年，我局主动公开信息</w:t>
      </w:r>
      <w:r>
        <w:rPr>
          <w:rFonts w:hint="eastAsia" w:ascii="Times New Roman" w:hAnsi="Times New Roman" w:eastAsia="仿宋_GB2312" w:cs="Times New Roman"/>
          <w:color w:val="auto"/>
          <w:kern w:val="0"/>
          <w:sz w:val="32"/>
          <w:szCs w:val="32"/>
          <w:highlight w:val="none"/>
          <w:shd w:val="clear" w:color="auto" w:fill="FFFFFF"/>
          <w:lang w:val="en-US" w:eastAsia="zh-CN" w:bidi="en-US"/>
        </w:rPr>
        <w:t>70</w:t>
      </w:r>
      <w:r>
        <w:rPr>
          <w:rFonts w:hint="default" w:ascii="Times New Roman" w:hAnsi="Times New Roman" w:eastAsia="仿宋_GB2312" w:cs="Times New Roman"/>
          <w:color w:val="auto"/>
          <w:kern w:val="0"/>
          <w:sz w:val="32"/>
          <w:szCs w:val="32"/>
          <w:highlight w:val="none"/>
          <w:shd w:val="clear" w:color="auto" w:fill="FFFFFF"/>
          <w:lang w:val="en-US" w:eastAsia="zh-CN" w:bidi="en-US"/>
        </w:rPr>
        <w:t>条，其中在区政府门户网站公开</w:t>
      </w:r>
      <w:r>
        <w:rPr>
          <w:rFonts w:hint="eastAsia" w:ascii="Times New Roman" w:hAnsi="Times New Roman" w:eastAsia="仿宋_GB2312" w:cs="Times New Roman"/>
          <w:color w:val="auto"/>
          <w:kern w:val="0"/>
          <w:sz w:val="32"/>
          <w:szCs w:val="32"/>
          <w:highlight w:val="none"/>
          <w:shd w:val="clear" w:color="auto" w:fill="FFFFFF"/>
          <w:lang w:val="en-US" w:eastAsia="zh-CN" w:bidi="en-US"/>
        </w:rPr>
        <w:t>68</w:t>
      </w:r>
      <w:r>
        <w:rPr>
          <w:rFonts w:hint="default" w:ascii="Times New Roman" w:hAnsi="Times New Roman" w:eastAsia="仿宋_GB2312" w:cs="Times New Roman"/>
          <w:color w:val="auto"/>
          <w:kern w:val="0"/>
          <w:sz w:val="32"/>
          <w:szCs w:val="32"/>
          <w:highlight w:val="none"/>
          <w:shd w:val="clear" w:color="auto" w:fill="FFFFFF"/>
          <w:lang w:val="en-US" w:eastAsia="zh-CN" w:bidi="en-US"/>
        </w:rPr>
        <w:t>条，政务新媒体公开</w:t>
      </w:r>
      <w:r>
        <w:rPr>
          <w:rFonts w:hint="eastAsia" w:ascii="Times New Roman" w:hAnsi="Times New Roman" w:eastAsia="仿宋_GB2312" w:cs="Times New Roman"/>
          <w:color w:val="auto"/>
          <w:kern w:val="0"/>
          <w:sz w:val="32"/>
          <w:szCs w:val="32"/>
          <w:highlight w:val="none"/>
          <w:shd w:val="clear" w:color="auto" w:fill="FFFFFF"/>
          <w:lang w:val="en-US" w:eastAsia="zh-CN" w:bidi="en-US"/>
        </w:rPr>
        <w:t>2</w:t>
      </w:r>
      <w:r>
        <w:rPr>
          <w:rFonts w:hint="default" w:ascii="Times New Roman" w:hAnsi="Times New Roman" w:eastAsia="仿宋_GB2312" w:cs="Times New Roman"/>
          <w:color w:val="auto"/>
          <w:kern w:val="0"/>
          <w:sz w:val="32"/>
          <w:szCs w:val="32"/>
          <w:highlight w:val="none"/>
          <w:shd w:val="clear" w:color="auto" w:fill="FFFFFF"/>
          <w:lang w:val="en-US" w:eastAsia="zh-CN" w:bidi="en-US"/>
        </w:rPr>
        <w:t>条。</w:t>
      </w:r>
    </w:p>
    <w:p w14:paraId="46B38AEF">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contextualSpacing/>
        <w:textAlignment w:val="auto"/>
        <w:rPr>
          <w:rFonts w:hint="default" w:ascii="Times New Roman" w:hAnsi="Times New Roman" w:eastAsia="楷体_GB2312" w:cs="Times New Roman"/>
          <w:b/>
          <w:bCs w:val="0"/>
          <w:color w:val="auto"/>
          <w:sz w:val="32"/>
          <w:szCs w:val="32"/>
          <w:highlight w:val="none"/>
          <w:lang w:eastAsia="zh-CN"/>
        </w:rPr>
      </w:pPr>
      <w:r>
        <w:rPr>
          <w:rFonts w:hint="default" w:ascii="Times New Roman" w:hAnsi="Times New Roman" w:eastAsia="楷体_GB2312" w:cs="Times New Roman"/>
          <w:b/>
          <w:bCs w:val="0"/>
          <w:color w:val="auto"/>
          <w:sz w:val="32"/>
          <w:szCs w:val="32"/>
          <w:highlight w:val="none"/>
          <w:lang w:val="en-US" w:eastAsia="zh-CN"/>
        </w:rPr>
        <w:t>（二）</w:t>
      </w:r>
      <w:r>
        <w:rPr>
          <w:rFonts w:hint="default" w:ascii="Times New Roman" w:hAnsi="Times New Roman" w:eastAsia="楷体_GB2312" w:cs="Times New Roman"/>
          <w:b/>
          <w:bCs w:val="0"/>
          <w:color w:val="auto"/>
          <w:sz w:val="32"/>
          <w:szCs w:val="32"/>
          <w:highlight w:val="none"/>
          <w:lang w:eastAsia="zh-CN"/>
        </w:rPr>
        <w:t>依申请公开</w:t>
      </w:r>
    </w:p>
    <w:p w14:paraId="225529FD">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eastAsia="zh-CN"/>
        </w:rPr>
        <w:t>做好依申请公开工作，依法保障民众的知情权、参与权、表达权、监督权。202</w:t>
      </w:r>
      <w:r>
        <w:rPr>
          <w:rFonts w:hint="eastAsia" w:eastAsia="仿宋_GB2312" w:cs="Times New Roman"/>
          <w:b w:val="0"/>
          <w:bCs w:val="0"/>
          <w:color w:val="auto"/>
          <w:sz w:val="32"/>
          <w:szCs w:val="32"/>
          <w:highlight w:val="none"/>
          <w:shd w:val="clear" w:color="auto" w:fill="FFFFFF"/>
          <w:lang w:val="en-US" w:eastAsia="zh-CN"/>
        </w:rPr>
        <w:t>5</w:t>
      </w:r>
      <w:r>
        <w:rPr>
          <w:rFonts w:hint="default" w:ascii="Times New Roman" w:hAnsi="Times New Roman" w:eastAsia="仿宋_GB2312" w:cs="Times New Roman"/>
          <w:b w:val="0"/>
          <w:bCs w:val="0"/>
          <w:color w:val="auto"/>
          <w:sz w:val="32"/>
          <w:szCs w:val="32"/>
          <w:highlight w:val="none"/>
          <w:shd w:val="clear" w:color="auto" w:fill="FFFFFF"/>
          <w:lang w:eastAsia="zh-CN"/>
        </w:rPr>
        <w:t>年共办理政府信息公开申请</w:t>
      </w:r>
      <w:r>
        <w:rPr>
          <w:rFonts w:hint="eastAsia" w:eastAsia="仿宋_GB2312" w:cs="Times New Roman"/>
          <w:b w:val="0"/>
          <w:bCs w:val="0"/>
          <w:color w:val="auto"/>
          <w:sz w:val="32"/>
          <w:szCs w:val="32"/>
          <w:highlight w:val="none"/>
          <w:shd w:val="clear" w:color="auto" w:fill="FFFFFF"/>
          <w:lang w:val="en-US" w:eastAsia="zh-CN"/>
        </w:rPr>
        <w:t>56</w:t>
      </w:r>
      <w:r>
        <w:rPr>
          <w:rFonts w:hint="default" w:ascii="Times New Roman" w:hAnsi="Times New Roman" w:eastAsia="仿宋_GB2312" w:cs="Times New Roman"/>
          <w:b w:val="0"/>
          <w:bCs w:val="0"/>
          <w:color w:val="auto"/>
          <w:sz w:val="32"/>
          <w:szCs w:val="32"/>
          <w:highlight w:val="none"/>
          <w:shd w:val="clear" w:color="auto" w:fill="FFFFFF"/>
          <w:lang w:eastAsia="zh-CN"/>
        </w:rPr>
        <w:t>件（含上年度结转</w:t>
      </w:r>
      <w:r>
        <w:rPr>
          <w:rFonts w:hint="eastAsia" w:eastAsia="仿宋_GB2312" w:cs="Times New Roman"/>
          <w:b w:val="0"/>
          <w:bCs w:val="0"/>
          <w:color w:val="auto"/>
          <w:sz w:val="32"/>
          <w:szCs w:val="32"/>
          <w:highlight w:val="none"/>
          <w:shd w:val="clear" w:color="auto" w:fill="FFFFFF"/>
          <w:lang w:val="en-US" w:eastAsia="zh-CN"/>
        </w:rPr>
        <w:t>2</w:t>
      </w:r>
      <w:r>
        <w:rPr>
          <w:rFonts w:hint="default" w:ascii="Times New Roman" w:hAnsi="Times New Roman" w:eastAsia="仿宋_GB2312" w:cs="Times New Roman"/>
          <w:b w:val="0"/>
          <w:bCs w:val="0"/>
          <w:color w:val="auto"/>
          <w:sz w:val="32"/>
          <w:szCs w:val="32"/>
          <w:highlight w:val="none"/>
          <w:shd w:val="clear" w:color="auto" w:fill="FFFFFF"/>
          <w:lang w:eastAsia="zh-CN"/>
        </w:rPr>
        <w:t>件）</w:t>
      </w:r>
      <w:r>
        <w:rPr>
          <w:rFonts w:hint="eastAsia" w:eastAsia="仿宋_GB2312" w:cs="Times New Roman"/>
          <w:b w:val="0"/>
          <w:bCs w:val="0"/>
          <w:color w:val="auto"/>
          <w:sz w:val="32"/>
          <w:szCs w:val="32"/>
          <w:highlight w:val="none"/>
          <w:shd w:val="clear" w:color="auto" w:fill="FFFFFF"/>
          <w:lang w:eastAsia="zh-CN"/>
        </w:rPr>
        <w:t>，</w:t>
      </w:r>
      <w:r>
        <w:rPr>
          <w:rFonts w:hint="default" w:ascii="Times New Roman" w:hAnsi="Times New Roman" w:eastAsia="仿宋_GB2312" w:cs="Times New Roman"/>
          <w:b w:val="0"/>
          <w:bCs w:val="0"/>
          <w:color w:val="auto"/>
          <w:sz w:val="32"/>
          <w:szCs w:val="32"/>
          <w:highlight w:val="none"/>
          <w:shd w:val="clear" w:color="auto" w:fill="FFFFFF"/>
          <w:lang w:eastAsia="zh-CN"/>
        </w:rPr>
        <w:t>其中予以公开申请</w:t>
      </w:r>
      <w:r>
        <w:rPr>
          <w:rFonts w:hint="eastAsia" w:eastAsia="仿宋_GB2312" w:cs="Times New Roman"/>
          <w:b w:val="0"/>
          <w:bCs w:val="0"/>
          <w:color w:val="auto"/>
          <w:sz w:val="32"/>
          <w:szCs w:val="32"/>
          <w:highlight w:val="none"/>
          <w:shd w:val="clear" w:color="auto" w:fill="FFFFFF"/>
          <w:lang w:val="en-US" w:eastAsia="zh-CN"/>
        </w:rPr>
        <w:t>40</w:t>
      </w:r>
      <w:r>
        <w:rPr>
          <w:rFonts w:hint="default" w:ascii="Times New Roman" w:hAnsi="Times New Roman" w:eastAsia="仿宋_GB2312" w:cs="Times New Roman"/>
          <w:b w:val="0"/>
          <w:bCs w:val="0"/>
          <w:color w:val="auto"/>
          <w:sz w:val="32"/>
          <w:szCs w:val="32"/>
          <w:highlight w:val="none"/>
          <w:shd w:val="clear" w:color="auto" w:fill="FFFFFF"/>
          <w:lang w:eastAsia="zh-CN"/>
        </w:rPr>
        <w:t>件，无法提供</w:t>
      </w:r>
      <w:r>
        <w:rPr>
          <w:rFonts w:hint="eastAsia" w:eastAsia="仿宋_GB2312" w:cs="Times New Roman"/>
          <w:b w:val="0"/>
          <w:bCs w:val="0"/>
          <w:color w:val="auto"/>
          <w:sz w:val="32"/>
          <w:szCs w:val="32"/>
          <w:highlight w:val="none"/>
          <w:shd w:val="clear" w:color="auto" w:fill="FFFFFF"/>
          <w:lang w:val="en-US" w:eastAsia="zh-CN"/>
        </w:rPr>
        <w:t>16</w:t>
      </w:r>
      <w:r>
        <w:rPr>
          <w:rFonts w:hint="default" w:ascii="Times New Roman" w:hAnsi="Times New Roman" w:eastAsia="仿宋_GB2312" w:cs="Times New Roman"/>
          <w:b w:val="0"/>
          <w:bCs w:val="0"/>
          <w:color w:val="auto"/>
          <w:sz w:val="32"/>
          <w:szCs w:val="32"/>
          <w:highlight w:val="none"/>
          <w:shd w:val="clear" w:color="auto" w:fill="FFFFFF"/>
          <w:lang w:eastAsia="zh-CN"/>
        </w:rPr>
        <w:t>件</w:t>
      </w:r>
      <w:r>
        <w:rPr>
          <w:rFonts w:hint="eastAsia" w:eastAsia="仿宋_GB2312" w:cs="Times New Roman"/>
          <w:b w:val="0"/>
          <w:bCs w:val="0"/>
          <w:color w:val="auto"/>
          <w:sz w:val="32"/>
          <w:szCs w:val="32"/>
          <w:highlight w:val="none"/>
          <w:shd w:val="clear" w:color="auto" w:fill="FFFFFF"/>
          <w:lang w:val="en-US" w:eastAsia="zh-CN"/>
        </w:rPr>
        <w:t>。</w:t>
      </w:r>
    </w:p>
    <w:p w14:paraId="3E1B1215">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eastAsia="zh-CN"/>
        </w:rPr>
      </w:pPr>
      <w:r>
        <w:rPr>
          <w:rFonts w:hint="default" w:ascii="Times New Roman" w:hAnsi="Times New Roman" w:eastAsia="仿宋_GB2312" w:cs="Times New Roman"/>
          <w:b w:val="0"/>
          <w:bCs w:val="0"/>
          <w:color w:val="auto"/>
          <w:sz w:val="32"/>
          <w:szCs w:val="32"/>
          <w:highlight w:val="none"/>
          <w:shd w:val="clear" w:color="auto" w:fill="FFFFFF"/>
          <w:lang w:eastAsia="zh-CN"/>
        </w:rPr>
        <w:t>本年度依申请公开政府信息未收取任何费用。</w:t>
      </w:r>
    </w:p>
    <w:p w14:paraId="744CDBF0">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shd w:val="clear" w:color="auto" w:fill="FFFFFF"/>
          <w:lang w:eastAsia="zh-CN"/>
        </w:rPr>
        <w:t>因政府信息公开被申请行政复议</w:t>
      </w:r>
      <w:r>
        <w:rPr>
          <w:rFonts w:hint="eastAsia" w:eastAsia="仿宋_GB2312" w:cs="Times New Roman"/>
          <w:b w:val="0"/>
          <w:bCs w:val="0"/>
          <w:color w:val="auto"/>
          <w:sz w:val="32"/>
          <w:szCs w:val="32"/>
          <w:highlight w:val="none"/>
          <w:shd w:val="clear" w:color="auto" w:fill="FFFFFF"/>
          <w:lang w:val="en-US" w:eastAsia="zh-CN"/>
        </w:rPr>
        <w:t>5</w:t>
      </w:r>
      <w:r>
        <w:rPr>
          <w:rFonts w:hint="default" w:ascii="Times New Roman" w:hAnsi="Times New Roman" w:eastAsia="仿宋_GB2312" w:cs="Times New Roman"/>
          <w:b w:val="0"/>
          <w:bCs w:val="0"/>
          <w:color w:val="auto"/>
          <w:sz w:val="32"/>
          <w:szCs w:val="32"/>
          <w:highlight w:val="none"/>
          <w:shd w:val="clear" w:color="auto" w:fill="FFFFFF"/>
          <w:lang w:eastAsia="zh-CN"/>
        </w:rPr>
        <w:t>件，因公民、法人和其他组织认为行政机关政府信息公开工作具体行政行为侵犯其合法权益，提起行政诉讼2件。</w:t>
      </w:r>
    </w:p>
    <w:p w14:paraId="593D0B4D">
      <w:pPr>
        <w:keepNext w:val="0"/>
        <w:keepLines w:val="0"/>
        <w:pageBreakBefore w:val="0"/>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val="0"/>
          <w:color w:val="auto"/>
          <w:sz w:val="32"/>
          <w:szCs w:val="32"/>
          <w:highlight w:val="none"/>
          <w:lang w:eastAsia="zh-CN"/>
        </w:rPr>
      </w:pPr>
      <w:r>
        <w:rPr>
          <w:rFonts w:hint="default" w:ascii="Times New Roman" w:hAnsi="Times New Roman" w:eastAsia="楷体_GB2312" w:cs="Times New Roman"/>
          <w:b/>
          <w:bCs w:val="0"/>
          <w:color w:val="auto"/>
          <w:sz w:val="32"/>
          <w:szCs w:val="32"/>
          <w:highlight w:val="none"/>
          <w:lang w:val="en-US" w:eastAsia="zh-CN"/>
        </w:rPr>
        <w:t>（三）</w:t>
      </w:r>
      <w:r>
        <w:rPr>
          <w:rFonts w:hint="default" w:ascii="Times New Roman" w:hAnsi="Times New Roman" w:eastAsia="楷体_GB2312" w:cs="Times New Roman"/>
          <w:b/>
          <w:bCs w:val="0"/>
          <w:color w:val="auto"/>
          <w:sz w:val="32"/>
          <w:szCs w:val="32"/>
          <w:highlight w:val="none"/>
          <w:lang w:eastAsia="zh-CN"/>
        </w:rPr>
        <w:t>政府信息管理</w:t>
      </w:r>
    </w:p>
    <w:p w14:paraId="4567BA29">
      <w:pPr>
        <w:pStyle w:val="3"/>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一是完善信息公开管理流程。建立政府信息公开工作全流程管理机制，安排专人负责信息公开传送。</w:t>
      </w:r>
    </w:p>
    <w:p w14:paraId="5FB9BF94">
      <w:pPr>
        <w:pStyle w:val="3"/>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74C366F3">
      <w:pPr>
        <w:pStyle w:val="3"/>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三是不断完善公开制度机制。202</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bidi="en-US"/>
        </w:rPr>
        <w:t>5</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年，全面落实“以公开为常态、不公开为例外”要求，主动、及时、规范、准确公开应当公开的政府信息，切实做到应公开尽公开，不断提升公开常态化、规范化、标准化水平。</w:t>
      </w:r>
    </w:p>
    <w:p w14:paraId="5545CD3A">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val="0"/>
          <w:color w:val="auto"/>
          <w:sz w:val="32"/>
          <w:szCs w:val="32"/>
          <w:highlight w:val="none"/>
          <w:lang w:eastAsia="zh-CN"/>
        </w:rPr>
      </w:pPr>
      <w:r>
        <w:rPr>
          <w:rFonts w:hint="default" w:ascii="Times New Roman" w:hAnsi="Times New Roman" w:eastAsia="楷体_GB2312" w:cs="Times New Roman"/>
          <w:b/>
          <w:bCs w:val="0"/>
          <w:color w:val="auto"/>
          <w:sz w:val="32"/>
          <w:szCs w:val="32"/>
          <w:highlight w:val="none"/>
          <w:lang w:val="en-US" w:eastAsia="zh-CN"/>
        </w:rPr>
        <w:t>（四）政府信息公开</w:t>
      </w:r>
      <w:r>
        <w:rPr>
          <w:rFonts w:hint="default" w:ascii="Times New Roman" w:hAnsi="Times New Roman" w:eastAsia="楷体_GB2312" w:cs="Times New Roman"/>
          <w:b/>
          <w:bCs w:val="0"/>
          <w:color w:val="auto"/>
          <w:sz w:val="32"/>
          <w:szCs w:val="32"/>
          <w:highlight w:val="none"/>
          <w:lang w:eastAsia="zh-CN"/>
        </w:rPr>
        <w:t>平台建设</w:t>
      </w:r>
    </w:p>
    <w:p w14:paraId="6CFFAF11">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eastAsia="zh-CN"/>
        </w:rPr>
      </w:pPr>
      <w:r>
        <w:rPr>
          <w:rFonts w:hint="default" w:ascii="Times New Roman" w:hAnsi="Times New Roman" w:eastAsia="仿宋_GB2312" w:cs="Times New Roman"/>
          <w:b w:val="0"/>
          <w:bCs w:val="0"/>
          <w:color w:val="auto"/>
          <w:sz w:val="32"/>
          <w:szCs w:val="32"/>
          <w:highlight w:val="none"/>
          <w:shd w:val="clear" w:color="auto" w:fill="FFFFFF"/>
          <w:lang w:eastAsia="zh-CN"/>
        </w:rPr>
        <w:t>依托“</w:t>
      </w:r>
      <w:r>
        <w:rPr>
          <w:rFonts w:hint="default" w:ascii="Times New Roman" w:hAnsi="Times New Roman" w:eastAsia="仿宋_GB2312" w:cs="Times New Roman"/>
          <w:b w:val="0"/>
          <w:bCs w:val="0"/>
          <w:color w:val="auto"/>
          <w:sz w:val="32"/>
          <w:szCs w:val="32"/>
          <w:highlight w:val="none"/>
          <w:shd w:val="clear" w:color="auto" w:fill="FFFFFF"/>
          <w:lang w:val="en-US" w:eastAsia="zh-CN"/>
        </w:rPr>
        <w:t>枣庄市市中区人民政府</w:t>
      </w:r>
      <w:r>
        <w:rPr>
          <w:rFonts w:hint="default" w:ascii="Times New Roman" w:hAnsi="Times New Roman" w:eastAsia="仿宋_GB2312" w:cs="Times New Roman"/>
          <w:b w:val="0"/>
          <w:bCs w:val="0"/>
          <w:color w:val="auto"/>
          <w:sz w:val="32"/>
          <w:szCs w:val="32"/>
          <w:highlight w:val="none"/>
          <w:shd w:val="clear" w:color="auto" w:fill="FFFFFF"/>
          <w:lang w:eastAsia="zh-CN"/>
        </w:rPr>
        <w:t>网站”“</w:t>
      </w:r>
      <w:r>
        <w:rPr>
          <w:rFonts w:hint="default" w:ascii="Times New Roman" w:hAnsi="Times New Roman" w:eastAsia="仿宋_GB2312" w:cs="Times New Roman"/>
          <w:b w:val="0"/>
          <w:bCs w:val="0"/>
          <w:color w:val="auto"/>
          <w:sz w:val="32"/>
          <w:szCs w:val="32"/>
          <w:highlight w:val="none"/>
          <w:shd w:val="clear" w:color="auto" w:fill="FFFFFF"/>
          <w:lang w:val="en-US" w:eastAsia="zh-CN"/>
        </w:rPr>
        <w:t>政府信息公开专栏</w:t>
      </w:r>
      <w:r>
        <w:rPr>
          <w:rFonts w:hint="default" w:ascii="Times New Roman" w:hAnsi="Times New Roman" w:eastAsia="仿宋_GB2312" w:cs="Times New Roman"/>
          <w:b w:val="0"/>
          <w:bCs w:val="0"/>
          <w:color w:val="auto"/>
          <w:sz w:val="32"/>
          <w:szCs w:val="32"/>
          <w:highlight w:val="none"/>
          <w:shd w:val="clear" w:color="auto" w:fill="FFFFFF"/>
          <w:lang w:eastAsia="zh-CN"/>
        </w:rPr>
        <w:t>”等平台发布信息，推动政务公开信息向不同群体精准推送，提升群众获取政府信息的便利度和幸福感。</w:t>
      </w:r>
    </w:p>
    <w:p w14:paraId="5D9D71BD">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5"/>
        <w:jc w:val="both"/>
        <w:textAlignment w:val="auto"/>
        <w:rPr>
          <w:rFonts w:hint="default" w:ascii="Times New Roman" w:hAnsi="Times New Roman" w:eastAsia="楷体_GB2312" w:cs="Times New Roman"/>
          <w:b/>
          <w:bCs/>
          <w:color w:val="auto"/>
          <w:sz w:val="32"/>
          <w:szCs w:val="32"/>
          <w:highlight w:val="none"/>
          <w:lang w:eastAsia="zh-CN" w:bidi="ar-SA"/>
        </w:rPr>
      </w:pPr>
      <w:r>
        <w:rPr>
          <w:rFonts w:hint="default" w:ascii="Times New Roman" w:hAnsi="Times New Roman" w:eastAsia="楷体_GB2312" w:cs="Times New Roman"/>
          <w:b/>
          <w:bCs/>
          <w:color w:val="auto"/>
          <w:sz w:val="32"/>
          <w:szCs w:val="32"/>
          <w:highlight w:val="none"/>
          <w:lang w:val="en-US" w:eastAsia="zh-CN" w:bidi="ar-SA"/>
        </w:rPr>
        <w:t>（五）</w:t>
      </w:r>
      <w:r>
        <w:rPr>
          <w:rFonts w:hint="default" w:ascii="Times New Roman" w:hAnsi="Times New Roman" w:eastAsia="楷体_GB2312" w:cs="Times New Roman"/>
          <w:b/>
          <w:bCs/>
          <w:color w:val="auto"/>
          <w:sz w:val="32"/>
          <w:szCs w:val="32"/>
          <w:highlight w:val="none"/>
          <w:lang w:eastAsia="zh-CN" w:bidi="ar-SA"/>
        </w:rPr>
        <w:t>监督保障</w:t>
      </w:r>
    </w:p>
    <w:p w14:paraId="35F794B6">
      <w:pPr>
        <w:pStyle w:val="9"/>
        <w:keepNext w:val="0"/>
        <w:keepLines w:val="0"/>
        <w:pageBreakBefore w:val="0"/>
        <w:kinsoku/>
        <w:wordWrap w:val="0"/>
        <w:overflowPunct/>
        <w:topLinePunct w:val="0"/>
        <w:autoSpaceDE/>
        <w:autoSpaceDN/>
        <w:bidi w:val="0"/>
        <w:adjustRightInd w:val="0"/>
        <w:snapToGrid w:val="0"/>
        <w:spacing w:line="560" w:lineRule="exact"/>
        <w:ind w:firstLine="58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成立了主要负责同志为组长，分管负责人任副组长，各股室负责人为成员的政府信息公开领导小组。</w:t>
      </w:r>
    </w:p>
    <w:p w14:paraId="16ECC63D">
      <w:pPr>
        <w:pStyle w:val="9"/>
        <w:keepNext w:val="0"/>
        <w:keepLines w:val="0"/>
        <w:pageBreakBefore w:val="0"/>
        <w:widowControl w:val="0"/>
        <w:kinsoku/>
        <w:wordWrap w:val="0"/>
        <w:overflowPunct/>
        <w:topLinePunct w:val="0"/>
        <w:autoSpaceDE/>
        <w:autoSpaceDN/>
        <w:bidi w:val="0"/>
        <w:adjustRightInd w:val="0"/>
        <w:snapToGrid w:val="0"/>
        <w:spacing w:line="560" w:lineRule="exact"/>
        <w:ind w:firstLine="578"/>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二、</w:t>
      </w:r>
      <w:r>
        <w:rPr>
          <w:rFonts w:hint="default" w:ascii="Times New Roman" w:hAnsi="Times New Roman" w:eastAsia="黑体" w:cs="Times New Roman"/>
          <w:bCs/>
          <w:color w:val="auto"/>
          <w:sz w:val="32"/>
          <w:szCs w:val="32"/>
          <w:highlight w:val="none"/>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70443C1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04671A4">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第二十条第（一）项</w:t>
            </w:r>
          </w:p>
        </w:tc>
      </w:tr>
      <w:tr w14:paraId="25BE00F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FFCF08D">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信息内容</w:t>
            </w:r>
          </w:p>
        </w:tc>
        <w:tc>
          <w:tcPr>
            <w:tcW w:w="2206" w:type="dxa"/>
            <w:tcBorders>
              <w:top w:val="nil"/>
              <w:left w:val="nil"/>
              <w:bottom w:val="single" w:color="auto" w:sz="8" w:space="0"/>
              <w:right w:val="single" w:color="auto" w:sz="8" w:space="0"/>
            </w:tcBorders>
            <w:shd w:val="clear" w:color="auto" w:fill="auto"/>
            <w:vAlign w:val="center"/>
          </w:tcPr>
          <w:p w14:paraId="39248418">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本年制发件数</w:t>
            </w:r>
          </w:p>
        </w:tc>
        <w:tc>
          <w:tcPr>
            <w:tcW w:w="2206" w:type="dxa"/>
            <w:tcBorders>
              <w:top w:val="nil"/>
              <w:left w:val="nil"/>
              <w:bottom w:val="single" w:color="auto" w:sz="8" w:space="0"/>
              <w:right w:val="single" w:color="auto" w:sz="8" w:space="0"/>
            </w:tcBorders>
            <w:shd w:val="clear" w:color="auto" w:fill="auto"/>
            <w:vAlign w:val="center"/>
          </w:tcPr>
          <w:p w14:paraId="07ECC1A6">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本年废止件数</w:t>
            </w:r>
          </w:p>
        </w:tc>
        <w:tc>
          <w:tcPr>
            <w:tcW w:w="2206" w:type="dxa"/>
            <w:tcBorders>
              <w:top w:val="nil"/>
              <w:left w:val="nil"/>
              <w:bottom w:val="single" w:color="auto" w:sz="8" w:space="0"/>
              <w:right w:val="single" w:color="auto" w:sz="8" w:space="0"/>
            </w:tcBorders>
            <w:shd w:val="clear" w:color="auto" w:fill="auto"/>
            <w:vAlign w:val="center"/>
          </w:tcPr>
          <w:p w14:paraId="7EF30CFD">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现行有效件数</w:t>
            </w:r>
          </w:p>
        </w:tc>
      </w:tr>
      <w:tr w14:paraId="0C2896F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BEDA391">
            <w:pPr>
              <w:keepNext w:val="0"/>
              <w:keepLines w:val="0"/>
              <w:pageBreakBefore w:val="0"/>
              <w:widowControl/>
              <w:kinsoku/>
              <w:wordWrap w:val="0"/>
              <w:overflowPunct/>
              <w:topLinePunct w:val="0"/>
              <w:autoSpaceDE/>
              <w:autoSpaceDN/>
              <w:bidi w:val="0"/>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规章</w:t>
            </w:r>
          </w:p>
        </w:tc>
        <w:tc>
          <w:tcPr>
            <w:tcW w:w="2206" w:type="dxa"/>
            <w:tcBorders>
              <w:top w:val="nil"/>
              <w:left w:val="nil"/>
              <w:bottom w:val="single" w:color="auto" w:sz="8" w:space="0"/>
              <w:right w:val="single" w:color="auto" w:sz="8" w:space="0"/>
            </w:tcBorders>
            <w:shd w:val="clear" w:color="auto" w:fill="auto"/>
            <w:vAlign w:val="center"/>
          </w:tcPr>
          <w:p w14:paraId="3667D180">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49E0BDC">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B4B0181">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14:paraId="7C0B747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9E53972">
            <w:pPr>
              <w:keepNext w:val="0"/>
              <w:keepLines w:val="0"/>
              <w:pageBreakBefore w:val="0"/>
              <w:widowControl/>
              <w:kinsoku/>
              <w:wordWrap w:val="0"/>
              <w:overflowPunct/>
              <w:topLinePunct w:val="0"/>
              <w:autoSpaceDE/>
              <w:autoSpaceDN/>
              <w:bidi w:val="0"/>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2296AFAB">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EC31B1D">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C6222C6">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14:paraId="0AA2B38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2856C49">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第二十条第（五）项</w:t>
            </w:r>
          </w:p>
        </w:tc>
      </w:tr>
      <w:tr w14:paraId="0B60A5D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3D62936">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4CEDDB3">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本年处理决定数量</w:t>
            </w:r>
          </w:p>
        </w:tc>
      </w:tr>
      <w:tr w14:paraId="1DBCDCF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208F72C">
            <w:pPr>
              <w:keepNext w:val="0"/>
              <w:keepLines w:val="0"/>
              <w:pageBreakBefore w:val="0"/>
              <w:widowControl/>
              <w:kinsoku/>
              <w:wordWrap w:val="0"/>
              <w:overflowPunct/>
              <w:topLinePunct w:val="0"/>
              <w:autoSpaceDE/>
              <w:autoSpaceDN/>
              <w:bidi w:val="0"/>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C687BA9">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eastAsia" w:eastAsia="仿宋_GB2312" w:cs="Times New Roman"/>
                <w:color w:val="auto"/>
                <w:kern w:val="0"/>
                <w:szCs w:val="21"/>
                <w:highlight w:val="none"/>
                <w:lang w:val="en-US" w:eastAsia="zh-CN"/>
              </w:rPr>
              <w:t>41</w:t>
            </w:r>
          </w:p>
        </w:tc>
      </w:tr>
      <w:tr w14:paraId="0E1F8D5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34E8B3C">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第二十条第（六）项</w:t>
            </w:r>
          </w:p>
        </w:tc>
      </w:tr>
      <w:tr w14:paraId="0C07AD9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D5896E">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2FDB967">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本年处理决定数量</w:t>
            </w:r>
          </w:p>
        </w:tc>
      </w:tr>
      <w:tr w14:paraId="283215B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77B874A">
            <w:pPr>
              <w:keepNext w:val="0"/>
              <w:keepLines w:val="0"/>
              <w:pageBreakBefore w:val="0"/>
              <w:widowControl/>
              <w:kinsoku/>
              <w:wordWrap w:val="0"/>
              <w:overflowPunct/>
              <w:topLinePunct w:val="0"/>
              <w:autoSpaceDE/>
              <w:autoSpaceDN/>
              <w:bidi w:val="0"/>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6EE8CB9">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14:paraId="2C0FC1A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CABDA45">
            <w:pPr>
              <w:keepNext w:val="0"/>
              <w:keepLines w:val="0"/>
              <w:pageBreakBefore w:val="0"/>
              <w:widowControl/>
              <w:kinsoku/>
              <w:wordWrap w:val="0"/>
              <w:overflowPunct/>
              <w:topLinePunct w:val="0"/>
              <w:autoSpaceDE/>
              <w:autoSpaceDN/>
              <w:bidi w:val="0"/>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421B5FC">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r w14:paraId="02BDBE9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69B50E5">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第二十条第（八）项</w:t>
            </w:r>
          </w:p>
        </w:tc>
      </w:tr>
      <w:tr w14:paraId="4D702CD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8F513E2">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54CCF8">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本年收费金额（单位：万元）</w:t>
            </w:r>
          </w:p>
        </w:tc>
      </w:tr>
      <w:tr w14:paraId="53C48ED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3DD4B0A">
            <w:pPr>
              <w:keepNext w:val="0"/>
              <w:keepLines w:val="0"/>
              <w:pageBreakBefore w:val="0"/>
              <w:widowControl/>
              <w:kinsoku/>
              <w:wordWrap w:val="0"/>
              <w:overflowPunct/>
              <w:topLinePunct w:val="0"/>
              <w:autoSpaceDE/>
              <w:autoSpaceDN/>
              <w:bidi w:val="0"/>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B56EFD4">
            <w:pPr>
              <w:keepNext w:val="0"/>
              <w:keepLines w:val="0"/>
              <w:pageBreakBefore w:val="0"/>
              <w:widowControl/>
              <w:kinsoku/>
              <w:wordWrap w:val="0"/>
              <w:overflowPunct/>
              <w:topLinePunct w:val="0"/>
              <w:autoSpaceDE/>
              <w:autoSpaceDN/>
              <w:bidi w:val="0"/>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r>
    </w:tbl>
    <w:p w14:paraId="7BC833D5">
      <w:pPr>
        <w:pStyle w:val="9"/>
        <w:keepNext w:val="0"/>
        <w:keepLines w:val="0"/>
        <w:pageBreakBefore w:val="0"/>
        <w:widowControl w:val="0"/>
        <w:kinsoku/>
        <w:wordWrap w:val="0"/>
        <w:overflowPunct/>
        <w:topLinePunct w:val="0"/>
        <w:autoSpaceDE/>
        <w:autoSpaceDN/>
        <w:bidi w:val="0"/>
        <w:adjustRightInd w:val="0"/>
        <w:snapToGrid w:val="0"/>
        <w:spacing w:line="560" w:lineRule="exact"/>
        <w:ind w:firstLine="601"/>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三、</w:t>
      </w:r>
      <w:r>
        <w:rPr>
          <w:rFonts w:hint="default" w:ascii="Times New Roman" w:hAnsi="Times New Roman" w:eastAsia="黑体" w:cs="Times New Roman"/>
          <w:bCs/>
          <w:color w:val="auto"/>
          <w:sz w:val="32"/>
          <w:szCs w:val="32"/>
          <w:highlight w:val="none"/>
        </w:rPr>
        <w:t>收到和处理政府信息公开申请情况</w:t>
      </w:r>
    </w:p>
    <w:tbl>
      <w:tblPr>
        <w:tblStyle w:val="4"/>
        <w:tblW w:w="100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3"/>
        <w:gridCol w:w="1729"/>
        <w:gridCol w:w="3026"/>
        <w:gridCol w:w="842"/>
        <w:gridCol w:w="576"/>
        <w:gridCol w:w="576"/>
        <w:gridCol w:w="743"/>
        <w:gridCol w:w="719"/>
        <w:gridCol w:w="578"/>
        <w:gridCol w:w="867"/>
      </w:tblGrid>
      <w:tr w14:paraId="23CF2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178" w:type="dxa"/>
            <w:gridSpan w:val="3"/>
            <w:vMerge w:val="restart"/>
            <w:shd w:val="clear" w:color="auto" w:fill="auto"/>
            <w:tcMar>
              <w:left w:w="108" w:type="dxa"/>
              <w:right w:w="108" w:type="dxa"/>
            </w:tcMar>
            <w:vAlign w:val="center"/>
          </w:tcPr>
          <w:p w14:paraId="3291B9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楷体_GB2312" w:cs="Times New Roman"/>
                <w:kern w:val="0"/>
                <w:sz w:val="21"/>
                <w:szCs w:val="21"/>
                <w:lang w:eastAsia="zh-CN" w:bidi="ar-SA"/>
              </w:rPr>
            </w:pPr>
            <w:r>
              <w:rPr>
                <w:rFonts w:hint="default" w:ascii="Times New Roman" w:hAnsi="Times New Roman" w:eastAsia="楷体_GB2312" w:cs="Times New Roman"/>
                <w:kern w:val="0"/>
                <w:sz w:val="21"/>
                <w:szCs w:val="21"/>
                <w:lang w:eastAsia="zh-CN" w:bidi="ar-SA"/>
              </w:rPr>
              <w:t>（本列数据的勾稽关系为：第一项加第二项之和，</w:t>
            </w:r>
          </w:p>
          <w:p w14:paraId="2E4CC3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楷体_GB2312" w:cs="Times New Roman"/>
                <w:kern w:val="0"/>
                <w:sz w:val="21"/>
                <w:szCs w:val="21"/>
                <w:lang w:eastAsia="zh-CN" w:bidi="ar-SA"/>
              </w:rPr>
              <w:t>等于第三项加第四项之和）</w:t>
            </w:r>
          </w:p>
        </w:tc>
        <w:tc>
          <w:tcPr>
            <w:tcW w:w="4901" w:type="dxa"/>
            <w:gridSpan w:val="7"/>
            <w:shd w:val="clear" w:color="auto" w:fill="auto"/>
            <w:tcMar>
              <w:left w:w="108" w:type="dxa"/>
              <w:right w:w="108" w:type="dxa"/>
            </w:tcMar>
            <w:vAlign w:val="center"/>
          </w:tcPr>
          <w:p w14:paraId="141365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申请人情况</w:t>
            </w:r>
          </w:p>
        </w:tc>
      </w:tr>
      <w:tr w14:paraId="445EE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178" w:type="dxa"/>
            <w:gridSpan w:val="3"/>
            <w:vMerge w:val="continue"/>
            <w:shd w:val="clear" w:color="auto" w:fill="auto"/>
            <w:tcMar>
              <w:left w:w="108" w:type="dxa"/>
              <w:right w:w="108" w:type="dxa"/>
            </w:tcMar>
            <w:vAlign w:val="center"/>
          </w:tcPr>
          <w:p w14:paraId="1269ACC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lang w:eastAsia="zh-CN" w:bidi="ar-SA"/>
              </w:rPr>
            </w:pPr>
          </w:p>
        </w:tc>
        <w:tc>
          <w:tcPr>
            <w:tcW w:w="842" w:type="dxa"/>
            <w:vMerge w:val="restart"/>
            <w:shd w:val="clear" w:color="auto" w:fill="auto"/>
            <w:tcMar>
              <w:left w:w="108" w:type="dxa"/>
              <w:right w:w="108" w:type="dxa"/>
            </w:tcMar>
            <w:vAlign w:val="center"/>
          </w:tcPr>
          <w:p w14:paraId="144A53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自然人</w:t>
            </w:r>
          </w:p>
        </w:tc>
        <w:tc>
          <w:tcPr>
            <w:tcW w:w="3192" w:type="dxa"/>
            <w:gridSpan w:val="5"/>
            <w:shd w:val="clear" w:color="auto" w:fill="auto"/>
            <w:tcMar>
              <w:left w:w="108" w:type="dxa"/>
              <w:right w:w="108" w:type="dxa"/>
            </w:tcMar>
            <w:vAlign w:val="center"/>
          </w:tcPr>
          <w:p w14:paraId="2A36F9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法人或其他组织</w:t>
            </w:r>
          </w:p>
        </w:tc>
        <w:tc>
          <w:tcPr>
            <w:tcW w:w="867" w:type="dxa"/>
            <w:vMerge w:val="restart"/>
            <w:shd w:val="clear" w:color="auto" w:fill="auto"/>
            <w:tcMar>
              <w:left w:w="108" w:type="dxa"/>
              <w:right w:w="108" w:type="dxa"/>
            </w:tcMar>
            <w:vAlign w:val="center"/>
          </w:tcPr>
          <w:p w14:paraId="4276D3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总计</w:t>
            </w:r>
          </w:p>
        </w:tc>
      </w:tr>
      <w:tr w14:paraId="6FEC7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5178" w:type="dxa"/>
            <w:gridSpan w:val="3"/>
            <w:vMerge w:val="continue"/>
            <w:shd w:val="clear" w:color="auto" w:fill="auto"/>
            <w:tcMar>
              <w:left w:w="108" w:type="dxa"/>
              <w:right w:w="108" w:type="dxa"/>
            </w:tcMar>
            <w:vAlign w:val="center"/>
          </w:tcPr>
          <w:p w14:paraId="718E49B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lang w:eastAsia="zh-CN" w:bidi="ar-SA"/>
              </w:rPr>
            </w:pPr>
          </w:p>
        </w:tc>
        <w:tc>
          <w:tcPr>
            <w:tcW w:w="842" w:type="dxa"/>
            <w:vMerge w:val="continue"/>
            <w:shd w:val="clear" w:color="auto" w:fill="auto"/>
            <w:tcMar>
              <w:left w:w="108" w:type="dxa"/>
              <w:right w:w="108" w:type="dxa"/>
            </w:tcMar>
            <w:vAlign w:val="center"/>
          </w:tcPr>
          <w:p w14:paraId="4534DF3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kern w:val="2"/>
                <w:sz w:val="21"/>
                <w:szCs w:val="21"/>
                <w:lang w:eastAsia="zh-CN" w:bidi="ar-SA"/>
              </w:rPr>
            </w:pPr>
          </w:p>
        </w:tc>
        <w:tc>
          <w:tcPr>
            <w:tcW w:w="576" w:type="dxa"/>
            <w:shd w:val="clear" w:color="auto" w:fill="auto"/>
            <w:tcMar>
              <w:left w:w="108" w:type="dxa"/>
              <w:right w:w="108" w:type="dxa"/>
            </w:tcMar>
            <w:vAlign w:val="center"/>
          </w:tcPr>
          <w:p w14:paraId="70F27ED3">
            <w:pPr>
              <w:keepNext w:val="0"/>
              <w:keepLines w:val="0"/>
              <w:pageBreakBefore w:val="0"/>
              <w:widowControl/>
              <w:kinsoku/>
              <w:wordWrap/>
              <w:overflowPunct/>
              <w:topLinePunct w:val="0"/>
              <w:autoSpaceDE/>
              <w:autoSpaceDN/>
              <w:bidi w:val="0"/>
              <w:adjustRightInd/>
              <w:snapToGrid/>
              <w:spacing w:line="320" w:lineRule="exact"/>
              <w:ind w:left="-121" w:leftChars="-51" w:right="-122" w:rightChars="-51" w:hanging="1"/>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商业企业</w:t>
            </w:r>
          </w:p>
        </w:tc>
        <w:tc>
          <w:tcPr>
            <w:tcW w:w="576" w:type="dxa"/>
            <w:shd w:val="clear" w:color="auto" w:fill="auto"/>
            <w:tcMar>
              <w:left w:w="108" w:type="dxa"/>
              <w:right w:w="108" w:type="dxa"/>
            </w:tcMar>
            <w:vAlign w:val="center"/>
          </w:tcPr>
          <w:p w14:paraId="49522561">
            <w:pPr>
              <w:keepNext w:val="0"/>
              <w:keepLines w:val="0"/>
              <w:pageBreakBefore w:val="0"/>
              <w:widowControl/>
              <w:kinsoku/>
              <w:wordWrap/>
              <w:overflowPunct/>
              <w:topLinePunct w:val="0"/>
              <w:autoSpaceDE/>
              <w:autoSpaceDN/>
              <w:bidi w:val="0"/>
              <w:adjustRightInd/>
              <w:snapToGrid/>
              <w:spacing w:line="320" w:lineRule="exact"/>
              <w:ind w:left="-122" w:leftChars="-51" w:right="-122" w:rightChars="-51"/>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科研机构</w:t>
            </w:r>
          </w:p>
        </w:tc>
        <w:tc>
          <w:tcPr>
            <w:tcW w:w="743" w:type="dxa"/>
            <w:shd w:val="clear" w:color="auto" w:fill="auto"/>
            <w:tcMar>
              <w:left w:w="108" w:type="dxa"/>
              <w:right w:w="108" w:type="dxa"/>
            </w:tcMar>
            <w:vAlign w:val="center"/>
          </w:tcPr>
          <w:p w14:paraId="51B852A0">
            <w:pPr>
              <w:keepNext w:val="0"/>
              <w:keepLines w:val="0"/>
              <w:pageBreakBefore w:val="0"/>
              <w:widowControl/>
              <w:kinsoku/>
              <w:wordWrap/>
              <w:overflowPunct/>
              <w:topLinePunct w:val="0"/>
              <w:autoSpaceDE/>
              <w:autoSpaceDN/>
              <w:bidi w:val="0"/>
              <w:adjustRightInd/>
              <w:snapToGrid/>
              <w:spacing w:line="320" w:lineRule="exact"/>
              <w:ind w:left="-122" w:leftChars="-51" w:right="-122" w:rightChars="-51"/>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社会公益组织</w:t>
            </w:r>
          </w:p>
        </w:tc>
        <w:tc>
          <w:tcPr>
            <w:tcW w:w="719" w:type="dxa"/>
            <w:shd w:val="clear" w:color="auto" w:fill="auto"/>
            <w:tcMar>
              <w:left w:w="108" w:type="dxa"/>
              <w:right w:w="108" w:type="dxa"/>
            </w:tcMar>
            <w:vAlign w:val="center"/>
          </w:tcPr>
          <w:p w14:paraId="76BA7D58">
            <w:pPr>
              <w:keepNext w:val="0"/>
              <w:keepLines w:val="0"/>
              <w:pageBreakBefore w:val="0"/>
              <w:widowControl/>
              <w:kinsoku/>
              <w:wordWrap/>
              <w:overflowPunct/>
              <w:topLinePunct w:val="0"/>
              <w:autoSpaceDE/>
              <w:autoSpaceDN/>
              <w:bidi w:val="0"/>
              <w:adjustRightInd/>
              <w:snapToGrid/>
              <w:spacing w:line="320" w:lineRule="exact"/>
              <w:ind w:left="-121" w:leftChars="-51" w:right="-122" w:rightChars="-51" w:hanging="1"/>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法律服务机构</w:t>
            </w:r>
          </w:p>
        </w:tc>
        <w:tc>
          <w:tcPr>
            <w:tcW w:w="578" w:type="dxa"/>
            <w:shd w:val="clear" w:color="auto" w:fill="auto"/>
            <w:tcMar>
              <w:left w:w="108" w:type="dxa"/>
              <w:right w:w="108" w:type="dxa"/>
            </w:tcMar>
            <w:vAlign w:val="center"/>
          </w:tcPr>
          <w:p w14:paraId="7D71C2F6">
            <w:pPr>
              <w:keepNext w:val="0"/>
              <w:keepLines w:val="0"/>
              <w:pageBreakBefore w:val="0"/>
              <w:widowControl/>
              <w:kinsoku/>
              <w:wordWrap/>
              <w:overflowPunct/>
              <w:topLinePunct w:val="0"/>
              <w:autoSpaceDE/>
              <w:autoSpaceDN/>
              <w:bidi w:val="0"/>
              <w:adjustRightInd/>
              <w:snapToGrid/>
              <w:spacing w:line="320" w:lineRule="exact"/>
              <w:ind w:left="-72" w:leftChars="-30" w:right="-154" w:rightChars="-64"/>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其他</w:t>
            </w:r>
          </w:p>
        </w:tc>
        <w:tc>
          <w:tcPr>
            <w:tcW w:w="867" w:type="dxa"/>
            <w:vMerge w:val="continue"/>
            <w:shd w:val="clear" w:color="auto" w:fill="auto"/>
            <w:tcMar>
              <w:left w:w="108" w:type="dxa"/>
              <w:right w:w="108" w:type="dxa"/>
            </w:tcMar>
            <w:vAlign w:val="center"/>
          </w:tcPr>
          <w:p w14:paraId="613B23E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lang w:eastAsia="zh-CN" w:bidi="ar-SA"/>
              </w:rPr>
            </w:pPr>
          </w:p>
        </w:tc>
      </w:tr>
      <w:tr w14:paraId="63A6B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178" w:type="dxa"/>
            <w:gridSpan w:val="3"/>
            <w:shd w:val="clear" w:color="auto" w:fill="auto"/>
            <w:tcMar>
              <w:left w:w="108" w:type="dxa"/>
              <w:right w:w="108" w:type="dxa"/>
            </w:tcMar>
            <w:vAlign w:val="center"/>
          </w:tcPr>
          <w:p w14:paraId="24E61C9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一、本年新收政府信息公开申请数量</w:t>
            </w:r>
          </w:p>
        </w:tc>
        <w:tc>
          <w:tcPr>
            <w:tcW w:w="842" w:type="dxa"/>
            <w:shd w:val="clear" w:color="auto" w:fill="auto"/>
            <w:tcMar>
              <w:left w:w="108" w:type="dxa"/>
              <w:right w:w="108" w:type="dxa"/>
            </w:tcMar>
            <w:vAlign w:val="center"/>
          </w:tcPr>
          <w:p w14:paraId="4A8C67C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54</w:t>
            </w:r>
          </w:p>
        </w:tc>
        <w:tc>
          <w:tcPr>
            <w:tcW w:w="576" w:type="dxa"/>
            <w:shd w:val="clear" w:color="auto" w:fill="auto"/>
            <w:tcMar>
              <w:left w:w="108" w:type="dxa"/>
              <w:right w:w="108" w:type="dxa"/>
            </w:tcMar>
            <w:vAlign w:val="center"/>
          </w:tcPr>
          <w:p w14:paraId="46EA707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2EF8CAC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6A714E1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5DCD9C6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7D13F7F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5F4C8D5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54</w:t>
            </w:r>
          </w:p>
        </w:tc>
      </w:tr>
      <w:tr w14:paraId="7F515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178" w:type="dxa"/>
            <w:gridSpan w:val="3"/>
            <w:shd w:val="clear" w:color="auto" w:fill="auto"/>
            <w:tcMar>
              <w:left w:w="108" w:type="dxa"/>
              <w:right w:w="108" w:type="dxa"/>
            </w:tcMar>
            <w:vAlign w:val="center"/>
          </w:tcPr>
          <w:p w14:paraId="05A162C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二、上年结转政府信息公开申请数量</w:t>
            </w:r>
          </w:p>
        </w:tc>
        <w:tc>
          <w:tcPr>
            <w:tcW w:w="842" w:type="dxa"/>
            <w:shd w:val="clear" w:color="auto" w:fill="auto"/>
            <w:tcMar>
              <w:left w:w="108" w:type="dxa"/>
              <w:right w:w="108" w:type="dxa"/>
            </w:tcMar>
            <w:vAlign w:val="center"/>
          </w:tcPr>
          <w:p w14:paraId="4F40C0E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2</w:t>
            </w:r>
          </w:p>
        </w:tc>
        <w:tc>
          <w:tcPr>
            <w:tcW w:w="576" w:type="dxa"/>
            <w:shd w:val="clear" w:color="auto" w:fill="auto"/>
            <w:tcMar>
              <w:left w:w="108" w:type="dxa"/>
              <w:right w:w="108" w:type="dxa"/>
            </w:tcMar>
            <w:vAlign w:val="center"/>
          </w:tcPr>
          <w:p w14:paraId="5485D0F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9813AB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62365E1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1B32DB8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1F0E92D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5A06C69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2</w:t>
            </w:r>
          </w:p>
        </w:tc>
      </w:tr>
      <w:tr w14:paraId="59CBB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3" w:type="dxa"/>
            <w:vMerge w:val="restart"/>
            <w:shd w:val="clear" w:color="auto" w:fill="auto"/>
            <w:tcMar>
              <w:left w:w="108" w:type="dxa"/>
              <w:right w:w="108" w:type="dxa"/>
            </w:tcMar>
            <w:vAlign w:val="center"/>
          </w:tcPr>
          <w:p w14:paraId="27ADCBFE">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三、本年度办理结果</w:t>
            </w:r>
          </w:p>
        </w:tc>
        <w:tc>
          <w:tcPr>
            <w:tcW w:w="4755" w:type="dxa"/>
            <w:gridSpan w:val="2"/>
            <w:shd w:val="clear" w:color="auto" w:fill="auto"/>
            <w:tcMar>
              <w:left w:w="108" w:type="dxa"/>
              <w:right w:w="108" w:type="dxa"/>
            </w:tcMar>
            <w:vAlign w:val="center"/>
          </w:tcPr>
          <w:p w14:paraId="20A610D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（一）予以公开</w:t>
            </w:r>
          </w:p>
        </w:tc>
        <w:tc>
          <w:tcPr>
            <w:tcW w:w="842" w:type="dxa"/>
            <w:shd w:val="clear" w:color="auto" w:fill="auto"/>
            <w:tcMar>
              <w:left w:w="108" w:type="dxa"/>
              <w:right w:w="108" w:type="dxa"/>
            </w:tcMar>
            <w:vAlign w:val="center"/>
          </w:tcPr>
          <w:p w14:paraId="3AE7AB4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40</w:t>
            </w:r>
          </w:p>
        </w:tc>
        <w:tc>
          <w:tcPr>
            <w:tcW w:w="576" w:type="dxa"/>
            <w:shd w:val="clear" w:color="auto" w:fill="auto"/>
            <w:tcMar>
              <w:left w:w="108" w:type="dxa"/>
              <w:right w:w="108" w:type="dxa"/>
            </w:tcMar>
            <w:vAlign w:val="center"/>
          </w:tcPr>
          <w:p w14:paraId="4F5CB1E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3FBAA3E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7F338FF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293BF01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5AFC621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1256BCE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40</w:t>
            </w:r>
          </w:p>
        </w:tc>
      </w:tr>
      <w:tr w14:paraId="3A29C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423" w:type="dxa"/>
            <w:vMerge w:val="continue"/>
            <w:shd w:val="clear" w:color="auto" w:fill="auto"/>
            <w:tcMar>
              <w:left w:w="108" w:type="dxa"/>
              <w:right w:w="108" w:type="dxa"/>
            </w:tcMar>
            <w:vAlign w:val="center"/>
          </w:tcPr>
          <w:p w14:paraId="51214B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4755" w:type="dxa"/>
            <w:gridSpan w:val="2"/>
            <w:shd w:val="clear" w:color="auto" w:fill="auto"/>
            <w:tcMar>
              <w:left w:w="108" w:type="dxa"/>
              <w:right w:w="108" w:type="dxa"/>
            </w:tcMar>
            <w:vAlign w:val="center"/>
          </w:tcPr>
          <w:p w14:paraId="1CA3298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（二）部分公开（区分处理的，只计这一情形，不计其他情形）</w:t>
            </w:r>
          </w:p>
        </w:tc>
        <w:tc>
          <w:tcPr>
            <w:tcW w:w="842" w:type="dxa"/>
            <w:shd w:val="clear" w:color="auto" w:fill="auto"/>
            <w:tcMar>
              <w:left w:w="108" w:type="dxa"/>
              <w:right w:w="108" w:type="dxa"/>
            </w:tcMar>
            <w:vAlign w:val="center"/>
          </w:tcPr>
          <w:p w14:paraId="68DC531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0C214F3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0F94E85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09A8F49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4325C8B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373D070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2C7898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29CBC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647B19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restart"/>
            <w:shd w:val="clear" w:color="auto" w:fill="auto"/>
            <w:tcMar>
              <w:left w:w="108" w:type="dxa"/>
              <w:right w:w="108" w:type="dxa"/>
            </w:tcMar>
            <w:vAlign w:val="center"/>
          </w:tcPr>
          <w:p w14:paraId="60F762B0">
            <w:pPr>
              <w:keepNext w:val="0"/>
              <w:keepLines w:val="0"/>
              <w:pageBreakBefore w:val="0"/>
              <w:widowControl/>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（三）不予公开</w:t>
            </w:r>
          </w:p>
        </w:tc>
        <w:tc>
          <w:tcPr>
            <w:tcW w:w="3026" w:type="dxa"/>
            <w:shd w:val="clear" w:color="auto" w:fill="auto"/>
            <w:tcMar>
              <w:left w:w="108" w:type="dxa"/>
              <w:right w:w="108" w:type="dxa"/>
            </w:tcMar>
            <w:vAlign w:val="center"/>
          </w:tcPr>
          <w:p w14:paraId="67D75B3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842" w:type="dxa"/>
            <w:shd w:val="clear" w:color="auto" w:fill="auto"/>
            <w:tcMar>
              <w:left w:w="108" w:type="dxa"/>
              <w:right w:w="108" w:type="dxa"/>
            </w:tcMar>
            <w:vAlign w:val="center"/>
          </w:tcPr>
          <w:p w14:paraId="4309B30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6E27EE8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0B643CE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3584F31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6397A99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210480C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757E9CB">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96C2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512FBA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6A2B56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1A99C93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2.其他法律行政法规禁止公开</w:t>
            </w:r>
          </w:p>
        </w:tc>
        <w:tc>
          <w:tcPr>
            <w:tcW w:w="842" w:type="dxa"/>
            <w:shd w:val="clear" w:color="auto" w:fill="auto"/>
            <w:tcMar>
              <w:left w:w="108" w:type="dxa"/>
              <w:right w:w="108" w:type="dxa"/>
            </w:tcMar>
            <w:vAlign w:val="center"/>
          </w:tcPr>
          <w:p w14:paraId="48A20D2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7382426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0AA4AAB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3203BBC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1AA9392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397FA9D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40BC606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BAB0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3D34E7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79C7D3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05CEC03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842" w:type="dxa"/>
            <w:shd w:val="clear" w:color="auto" w:fill="auto"/>
            <w:tcMar>
              <w:left w:w="108" w:type="dxa"/>
              <w:right w:w="108" w:type="dxa"/>
            </w:tcMar>
            <w:vAlign w:val="center"/>
          </w:tcPr>
          <w:p w14:paraId="3680F6C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2EBD04A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45E45B8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58125F0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215FCED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7EB7498B">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0FF2FC9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E806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559AF9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7864DD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6F72C1A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4.保护第三方合法权益</w:t>
            </w:r>
          </w:p>
        </w:tc>
        <w:tc>
          <w:tcPr>
            <w:tcW w:w="842" w:type="dxa"/>
            <w:shd w:val="clear" w:color="auto" w:fill="auto"/>
            <w:tcMar>
              <w:left w:w="108" w:type="dxa"/>
              <w:right w:w="108" w:type="dxa"/>
            </w:tcMar>
            <w:vAlign w:val="center"/>
          </w:tcPr>
          <w:p w14:paraId="2BD813F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3489523B">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618EBE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01F0EAF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315A5F13">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1A74485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162117D2">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756D6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00B4A3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59BD22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1C19EF7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842" w:type="dxa"/>
            <w:shd w:val="clear" w:color="auto" w:fill="auto"/>
            <w:tcMar>
              <w:left w:w="108" w:type="dxa"/>
              <w:right w:w="108" w:type="dxa"/>
            </w:tcMar>
            <w:vAlign w:val="center"/>
          </w:tcPr>
          <w:p w14:paraId="22743C69">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28392FD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7D1F64F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10C41F3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6CE8BA3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41FF983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F778F0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E523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321AE4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1C8195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083FEAE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6.属于四类过程性信息</w:t>
            </w:r>
          </w:p>
        </w:tc>
        <w:tc>
          <w:tcPr>
            <w:tcW w:w="842" w:type="dxa"/>
            <w:shd w:val="clear" w:color="auto" w:fill="auto"/>
            <w:tcMar>
              <w:left w:w="108" w:type="dxa"/>
              <w:right w:w="108" w:type="dxa"/>
            </w:tcMar>
            <w:vAlign w:val="center"/>
          </w:tcPr>
          <w:p w14:paraId="413F404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3EC11E9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452E63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6FAD944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3E9C862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5F8D872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5CE5C953">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2C91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66A298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32F7A4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3E85640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842" w:type="dxa"/>
            <w:shd w:val="clear" w:color="auto" w:fill="auto"/>
            <w:tcMar>
              <w:left w:w="108" w:type="dxa"/>
              <w:right w:w="108" w:type="dxa"/>
            </w:tcMar>
            <w:vAlign w:val="center"/>
          </w:tcPr>
          <w:p w14:paraId="22570C3B">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11"/>
                <w:szCs w:val="11"/>
                <w:lang w:val="en-US" w:eastAsia="zh-CN" w:bidi="ar-SA"/>
              </w:rPr>
            </w:pPr>
            <w:r>
              <w:rPr>
                <w:rFonts w:hint="eastAsia"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2CB7F853">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211BD9F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399952D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477D5D12">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53D16B5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0254E52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16008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3395E9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760871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3DD15B9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8.属于行政查询事项</w:t>
            </w:r>
          </w:p>
        </w:tc>
        <w:tc>
          <w:tcPr>
            <w:tcW w:w="842" w:type="dxa"/>
            <w:shd w:val="clear" w:color="auto" w:fill="auto"/>
            <w:tcMar>
              <w:left w:w="108" w:type="dxa"/>
              <w:right w:w="108" w:type="dxa"/>
            </w:tcMar>
            <w:vAlign w:val="center"/>
          </w:tcPr>
          <w:p w14:paraId="35C57AA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6299EF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3474F3E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6881377B">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397BD14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54933279">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5986A2A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A2D0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6C90EF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restart"/>
            <w:shd w:val="clear" w:color="auto" w:fill="auto"/>
            <w:tcMar>
              <w:left w:w="108" w:type="dxa"/>
              <w:right w:w="108" w:type="dxa"/>
            </w:tcMar>
            <w:vAlign w:val="center"/>
          </w:tcPr>
          <w:p w14:paraId="3B562A5C">
            <w:pPr>
              <w:keepNext w:val="0"/>
              <w:keepLines w:val="0"/>
              <w:pageBreakBefore w:val="0"/>
              <w:widowControl/>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（四）无法提供</w:t>
            </w:r>
          </w:p>
        </w:tc>
        <w:tc>
          <w:tcPr>
            <w:tcW w:w="3026" w:type="dxa"/>
            <w:shd w:val="clear" w:color="auto" w:fill="auto"/>
            <w:tcMar>
              <w:left w:w="108" w:type="dxa"/>
              <w:right w:w="108" w:type="dxa"/>
            </w:tcMar>
            <w:vAlign w:val="center"/>
          </w:tcPr>
          <w:p w14:paraId="25F2D9D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842" w:type="dxa"/>
            <w:shd w:val="clear" w:color="auto" w:fill="auto"/>
            <w:tcMar>
              <w:left w:w="108" w:type="dxa"/>
              <w:right w:w="108" w:type="dxa"/>
            </w:tcMar>
            <w:vAlign w:val="center"/>
          </w:tcPr>
          <w:p w14:paraId="6FB32BE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16</w:t>
            </w:r>
          </w:p>
        </w:tc>
        <w:tc>
          <w:tcPr>
            <w:tcW w:w="576" w:type="dxa"/>
            <w:shd w:val="clear" w:color="auto" w:fill="auto"/>
            <w:tcMar>
              <w:left w:w="108" w:type="dxa"/>
              <w:right w:w="108" w:type="dxa"/>
            </w:tcMar>
            <w:vAlign w:val="center"/>
          </w:tcPr>
          <w:p w14:paraId="5FAA5F8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4F6429B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12250733">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35E868E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2F97C83B">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4918FE9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16</w:t>
            </w:r>
          </w:p>
        </w:tc>
      </w:tr>
      <w:tr w14:paraId="2724E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44E61E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0B306998">
            <w:pPr>
              <w:keepNext w:val="0"/>
              <w:keepLines w:val="0"/>
              <w:pageBreakBefore w:val="0"/>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70D5498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2.没有现成信息需要另行制作</w:t>
            </w:r>
          </w:p>
        </w:tc>
        <w:tc>
          <w:tcPr>
            <w:tcW w:w="842" w:type="dxa"/>
            <w:shd w:val="clear" w:color="auto" w:fill="auto"/>
            <w:tcMar>
              <w:left w:w="108" w:type="dxa"/>
              <w:right w:w="108" w:type="dxa"/>
            </w:tcMar>
            <w:vAlign w:val="center"/>
          </w:tcPr>
          <w:p w14:paraId="2872B36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346A657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28182FB2">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081CA4B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37497FB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4DF567B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4AB47DE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A561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5F83AD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23A17E8B">
            <w:pPr>
              <w:keepNext w:val="0"/>
              <w:keepLines w:val="0"/>
              <w:pageBreakBefore w:val="0"/>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2471615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3.补正后申请内容仍不明确</w:t>
            </w:r>
          </w:p>
        </w:tc>
        <w:tc>
          <w:tcPr>
            <w:tcW w:w="842" w:type="dxa"/>
            <w:shd w:val="clear" w:color="auto" w:fill="auto"/>
            <w:tcMar>
              <w:left w:w="108" w:type="dxa"/>
              <w:right w:w="108" w:type="dxa"/>
            </w:tcMar>
            <w:vAlign w:val="center"/>
          </w:tcPr>
          <w:p w14:paraId="0BA5D4E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4E2939D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794D829B">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50EB5E23">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2910DF8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0EF79B6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6B87492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7917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234AA3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restart"/>
            <w:shd w:val="clear" w:color="auto" w:fill="auto"/>
            <w:tcMar>
              <w:left w:w="108" w:type="dxa"/>
              <w:right w:w="108" w:type="dxa"/>
            </w:tcMar>
            <w:vAlign w:val="center"/>
          </w:tcPr>
          <w:p w14:paraId="23593468">
            <w:pPr>
              <w:keepNext w:val="0"/>
              <w:keepLines w:val="0"/>
              <w:pageBreakBefore w:val="0"/>
              <w:widowControl/>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（五）不予处理</w:t>
            </w:r>
          </w:p>
        </w:tc>
        <w:tc>
          <w:tcPr>
            <w:tcW w:w="3026" w:type="dxa"/>
            <w:shd w:val="clear" w:color="auto" w:fill="auto"/>
            <w:tcMar>
              <w:left w:w="108" w:type="dxa"/>
              <w:right w:w="108" w:type="dxa"/>
            </w:tcMar>
            <w:vAlign w:val="center"/>
          </w:tcPr>
          <w:p w14:paraId="62E1C66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1.信访举报投诉类申请</w:t>
            </w:r>
          </w:p>
        </w:tc>
        <w:tc>
          <w:tcPr>
            <w:tcW w:w="842" w:type="dxa"/>
            <w:shd w:val="clear" w:color="auto" w:fill="auto"/>
            <w:tcMar>
              <w:left w:w="108" w:type="dxa"/>
              <w:right w:w="108" w:type="dxa"/>
            </w:tcMar>
            <w:vAlign w:val="center"/>
          </w:tcPr>
          <w:p w14:paraId="5E2186C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04C69C9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76F166D3">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25CBE43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6EBA328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77F06B0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2A2EFCB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3E4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6A4B65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42942D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1C6F7AC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842" w:type="dxa"/>
            <w:shd w:val="clear" w:color="auto" w:fill="auto"/>
            <w:tcMar>
              <w:left w:w="108" w:type="dxa"/>
              <w:right w:w="108" w:type="dxa"/>
            </w:tcMar>
            <w:vAlign w:val="center"/>
          </w:tcPr>
          <w:p w14:paraId="304C4BD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9C4684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0AD0FB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34EC453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5636392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58E13D4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6800587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4C2D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423" w:type="dxa"/>
            <w:vMerge w:val="continue"/>
            <w:shd w:val="clear" w:color="auto" w:fill="auto"/>
            <w:tcMar>
              <w:left w:w="108" w:type="dxa"/>
              <w:right w:w="108" w:type="dxa"/>
            </w:tcMar>
            <w:vAlign w:val="center"/>
          </w:tcPr>
          <w:p w14:paraId="512A75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49111B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4963FC1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842" w:type="dxa"/>
            <w:shd w:val="clear" w:color="auto" w:fill="auto"/>
            <w:tcMar>
              <w:left w:w="108" w:type="dxa"/>
              <w:right w:w="108" w:type="dxa"/>
            </w:tcMar>
            <w:vAlign w:val="center"/>
          </w:tcPr>
          <w:p w14:paraId="7BCF7AE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0EA4F2D2">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6991779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6B9AC6C2">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2D1A266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671C89F9">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DAD5BC8">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DA61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exact"/>
          <w:jc w:val="center"/>
        </w:trPr>
        <w:tc>
          <w:tcPr>
            <w:tcW w:w="423" w:type="dxa"/>
            <w:vMerge w:val="continue"/>
            <w:shd w:val="clear" w:color="auto" w:fill="auto"/>
            <w:tcMar>
              <w:left w:w="108" w:type="dxa"/>
              <w:right w:w="108" w:type="dxa"/>
            </w:tcMar>
            <w:vAlign w:val="center"/>
          </w:tcPr>
          <w:p w14:paraId="1A8175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571C99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303B36E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842" w:type="dxa"/>
            <w:shd w:val="clear" w:color="auto" w:fill="auto"/>
            <w:tcMar>
              <w:left w:w="108" w:type="dxa"/>
              <w:right w:w="108" w:type="dxa"/>
            </w:tcMar>
            <w:vAlign w:val="center"/>
          </w:tcPr>
          <w:p w14:paraId="2FF1D028">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0402022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44962E8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3FF5967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013CB43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3D534422">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59C4673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4B2C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423" w:type="dxa"/>
            <w:vMerge w:val="continue"/>
            <w:shd w:val="clear" w:color="auto" w:fill="auto"/>
            <w:tcMar>
              <w:left w:w="108" w:type="dxa"/>
              <w:right w:w="108" w:type="dxa"/>
            </w:tcMar>
            <w:vAlign w:val="center"/>
          </w:tcPr>
          <w:p w14:paraId="6DF140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245C7E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3026" w:type="dxa"/>
            <w:shd w:val="clear" w:color="auto" w:fill="auto"/>
            <w:tcMar>
              <w:left w:w="108" w:type="dxa"/>
              <w:right w:w="108" w:type="dxa"/>
            </w:tcMar>
            <w:vAlign w:val="center"/>
          </w:tcPr>
          <w:p w14:paraId="414998B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2A6DD4EA">
            <w:pPr>
              <w:keepNext w:val="0"/>
              <w:keepLines w:val="0"/>
              <w:pageBreakBefore w:val="0"/>
              <w:widowControl/>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842" w:type="dxa"/>
            <w:shd w:val="clear" w:color="auto" w:fill="auto"/>
            <w:tcMar>
              <w:left w:w="108" w:type="dxa"/>
              <w:right w:w="108" w:type="dxa"/>
            </w:tcMar>
            <w:vAlign w:val="center"/>
          </w:tcPr>
          <w:p w14:paraId="7F7F6C4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A01170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4210BBF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6CE2927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74B2853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663F6DA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BD0D23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679AE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23" w:type="dxa"/>
            <w:vMerge w:val="continue"/>
            <w:shd w:val="clear" w:color="auto" w:fill="auto"/>
            <w:tcMar>
              <w:left w:w="108" w:type="dxa"/>
              <w:right w:w="108" w:type="dxa"/>
            </w:tcMar>
            <w:vAlign w:val="center"/>
          </w:tcPr>
          <w:p w14:paraId="2B2846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restart"/>
            <w:shd w:val="clear" w:color="auto" w:fill="auto"/>
            <w:tcMar>
              <w:left w:w="108" w:type="dxa"/>
              <w:right w:w="108" w:type="dxa"/>
            </w:tcMar>
            <w:vAlign w:val="center"/>
          </w:tcPr>
          <w:p w14:paraId="0EA2995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（六）其他处理</w:t>
            </w:r>
          </w:p>
        </w:tc>
        <w:tc>
          <w:tcPr>
            <w:tcW w:w="3026" w:type="dxa"/>
            <w:shd w:val="clear" w:color="auto" w:fill="auto"/>
            <w:vAlign w:val="center"/>
          </w:tcPr>
          <w:p w14:paraId="34E5FC3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842" w:type="dxa"/>
            <w:shd w:val="clear" w:color="auto" w:fill="auto"/>
            <w:tcMar>
              <w:left w:w="108" w:type="dxa"/>
              <w:right w:w="108" w:type="dxa"/>
            </w:tcMar>
            <w:vAlign w:val="center"/>
          </w:tcPr>
          <w:p w14:paraId="393DE2A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B07934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3745F2F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35C3409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0B4D9BA3">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571B1EE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9C69557">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06BD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423" w:type="dxa"/>
            <w:vMerge w:val="continue"/>
            <w:shd w:val="clear" w:color="auto" w:fill="auto"/>
            <w:tcMar>
              <w:left w:w="108" w:type="dxa"/>
              <w:right w:w="108" w:type="dxa"/>
            </w:tcMar>
            <w:vAlign w:val="center"/>
          </w:tcPr>
          <w:p w14:paraId="3172AC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5C0F5AF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p>
        </w:tc>
        <w:tc>
          <w:tcPr>
            <w:tcW w:w="3026" w:type="dxa"/>
            <w:shd w:val="clear" w:color="auto" w:fill="auto"/>
            <w:vAlign w:val="center"/>
          </w:tcPr>
          <w:p w14:paraId="01D2FBA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842" w:type="dxa"/>
            <w:shd w:val="clear" w:color="auto" w:fill="auto"/>
            <w:tcMar>
              <w:left w:w="108" w:type="dxa"/>
              <w:right w:w="108" w:type="dxa"/>
            </w:tcMar>
            <w:vAlign w:val="center"/>
          </w:tcPr>
          <w:p w14:paraId="319EB346">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70711EE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1956376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7AFA6D4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556BB9B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5CBDCD8E">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40004D23">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1229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3" w:type="dxa"/>
            <w:vMerge w:val="continue"/>
            <w:shd w:val="clear" w:color="auto" w:fill="auto"/>
            <w:tcMar>
              <w:left w:w="108" w:type="dxa"/>
              <w:right w:w="108" w:type="dxa"/>
            </w:tcMar>
            <w:vAlign w:val="center"/>
          </w:tcPr>
          <w:p w14:paraId="1AE9CC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29" w:type="dxa"/>
            <w:vMerge w:val="continue"/>
            <w:shd w:val="clear" w:color="auto" w:fill="auto"/>
            <w:tcMar>
              <w:left w:w="108" w:type="dxa"/>
              <w:right w:w="108" w:type="dxa"/>
            </w:tcMar>
            <w:vAlign w:val="center"/>
          </w:tcPr>
          <w:p w14:paraId="41AAF21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p>
        </w:tc>
        <w:tc>
          <w:tcPr>
            <w:tcW w:w="3026" w:type="dxa"/>
            <w:shd w:val="clear" w:color="auto" w:fill="auto"/>
            <w:vAlign w:val="center"/>
          </w:tcPr>
          <w:p w14:paraId="75F6266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842" w:type="dxa"/>
            <w:shd w:val="clear" w:color="auto" w:fill="auto"/>
            <w:tcMar>
              <w:left w:w="108" w:type="dxa"/>
              <w:right w:w="108" w:type="dxa"/>
            </w:tcMar>
            <w:vAlign w:val="center"/>
          </w:tcPr>
          <w:p w14:paraId="4AED547A">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3934BBE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662CFD5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08272244">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12FD5C0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03B8BEFD">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8D73E51">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2705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3" w:type="dxa"/>
            <w:vMerge w:val="continue"/>
            <w:shd w:val="clear" w:color="auto" w:fill="auto"/>
            <w:tcMar>
              <w:left w:w="108" w:type="dxa"/>
              <w:right w:w="108" w:type="dxa"/>
            </w:tcMar>
            <w:vAlign w:val="center"/>
          </w:tcPr>
          <w:p w14:paraId="442967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4755" w:type="dxa"/>
            <w:gridSpan w:val="2"/>
            <w:shd w:val="clear" w:color="auto" w:fill="auto"/>
            <w:tcMar>
              <w:left w:w="108" w:type="dxa"/>
              <w:right w:w="108" w:type="dxa"/>
            </w:tcMar>
            <w:vAlign w:val="center"/>
          </w:tcPr>
          <w:p w14:paraId="21BE009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（七）总计</w:t>
            </w:r>
          </w:p>
        </w:tc>
        <w:tc>
          <w:tcPr>
            <w:tcW w:w="842" w:type="dxa"/>
            <w:shd w:val="clear" w:color="auto" w:fill="auto"/>
            <w:tcMar>
              <w:left w:w="108" w:type="dxa"/>
              <w:right w:w="108" w:type="dxa"/>
            </w:tcMar>
            <w:vAlign w:val="center"/>
          </w:tcPr>
          <w:p w14:paraId="6071E4A2">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56</w:t>
            </w:r>
          </w:p>
        </w:tc>
        <w:tc>
          <w:tcPr>
            <w:tcW w:w="576" w:type="dxa"/>
            <w:shd w:val="clear" w:color="auto" w:fill="auto"/>
            <w:tcMar>
              <w:left w:w="108" w:type="dxa"/>
              <w:right w:w="108" w:type="dxa"/>
            </w:tcMar>
            <w:vAlign w:val="center"/>
          </w:tcPr>
          <w:p w14:paraId="6B33664F">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5BED96B9">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2F997742">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6B212DF8">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6E520648">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545698C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56</w:t>
            </w:r>
          </w:p>
        </w:tc>
      </w:tr>
      <w:tr w14:paraId="7E2D4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178" w:type="dxa"/>
            <w:gridSpan w:val="3"/>
            <w:shd w:val="clear" w:color="auto" w:fill="auto"/>
            <w:tcMar>
              <w:left w:w="108" w:type="dxa"/>
              <w:right w:w="108" w:type="dxa"/>
            </w:tcMar>
            <w:vAlign w:val="center"/>
          </w:tcPr>
          <w:p w14:paraId="0263E6B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四、结转下年度继续办理</w:t>
            </w:r>
          </w:p>
        </w:tc>
        <w:tc>
          <w:tcPr>
            <w:tcW w:w="842" w:type="dxa"/>
            <w:shd w:val="clear" w:color="auto" w:fill="auto"/>
            <w:tcMar>
              <w:left w:w="108" w:type="dxa"/>
              <w:right w:w="108" w:type="dxa"/>
            </w:tcMar>
            <w:vAlign w:val="center"/>
          </w:tcPr>
          <w:p w14:paraId="2AEC98D9">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3548D990">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6" w:type="dxa"/>
            <w:shd w:val="clear" w:color="auto" w:fill="auto"/>
            <w:tcMar>
              <w:left w:w="108" w:type="dxa"/>
              <w:right w:w="108" w:type="dxa"/>
            </w:tcMar>
            <w:vAlign w:val="center"/>
          </w:tcPr>
          <w:p w14:paraId="1606D64B">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43" w:type="dxa"/>
            <w:shd w:val="clear" w:color="auto" w:fill="auto"/>
            <w:tcMar>
              <w:left w:w="108" w:type="dxa"/>
              <w:right w:w="108" w:type="dxa"/>
            </w:tcMar>
            <w:vAlign w:val="center"/>
          </w:tcPr>
          <w:p w14:paraId="24D76ECC">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19" w:type="dxa"/>
            <w:shd w:val="clear" w:color="auto" w:fill="auto"/>
            <w:tcMar>
              <w:left w:w="108" w:type="dxa"/>
              <w:right w:w="108" w:type="dxa"/>
            </w:tcMar>
            <w:vAlign w:val="center"/>
          </w:tcPr>
          <w:p w14:paraId="123081F5">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78" w:type="dxa"/>
            <w:shd w:val="clear" w:color="auto" w:fill="auto"/>
            <w:tcMar>
              <w:left w:w="108" w:type="dxa"/>
              <w:right w:w="108" w:type="dxa"/>
            </w:tcMar>
            <w:vAlign w:val="center"/>
          </w:tcPr>
          <w:p w14:paraId="1501C438">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43477059">
            <w:pPr>
              <w:keepNext w:val="0"/>
              <w:keepLines w:val="0"/>
              <w:pageBreakBefore w:val="0"/>
              <w:widowControl/>
              <w:kinsoku/>
              <w:wordWrap/>
              <w:overflowPunct/>
              <w:topLinePunct w:val="0"/>
              <w:autoSpaceDE/>
              <w:autoSpaceDN/>
              <w:bidi w:val="0"/>
              <w:adjustRightInd/>
              <w:snapToGrid/>
              <w:spacing w:after="180" w:line="32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bl>
    <w:p w14:paraId="4CB1FE31">
      <w:pPr>
        <w:pStyle w:val="9"/>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四、</w:t>
      </w:r>
      <w:r>
        <w:rPr>
          <w:rFonts w:hint="default" w:ascii="Times New Roman" w:hAnsi="Times New Roman" w:eastAsia="黑体" w:cs="Times New Roman"/>
          <w:bCs/>
          <w:color w:val="auto"/>
          <w:sz w:val="32"/>
          <w:szCs w:val="32"/>
          <w:highlight w:val="none"/>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610"/>
        <w:gridCol w:w="610"/>
        <w:gridCol w:w="611"/>
        <w:gridCol w:w="611"/>
        <w:gridCol w:w="467"/>
        <w:gridCol w:w="613"/>
        <w:gridCol w:w="613"/>
        <w:gridCol w:w="613"/>
        <w:gridCol w:w="613"/>
        <w:gridCol w:w="464"/>
        <w:gridCol w:w="613"/>
        <w:gridCol w:w="615"/>
        <w:gridCol w:w="615"/>
        <w:gridCol w:w="615"/>
        <w:gridCol w:w="469"/>
      </w:tblGrid>
      <w:tr w14:paraId="5BF6F1AA">
        <w:tblPrEx>
          <w:tblCellMar>
            <w:top w:w="0" w:type="dxa"/>
            <w:left w:w="10" w:type="dxa"/>
            <w:bottom w:w="0" w:type="dxa"/>
            <w:right w:w="10" w:type="dxa"/>
          </w:tblCellMar>
        </w:tblPrEx>
        <w:trPr>
          <w:trHeight w:val="0" w:hRule="atLeast"/>
          <w:jc w:val="center"/>
        </w:trPr>
        <w:tc>
          <w:tcPr>
            <w:tcW w:w="1663" w:type="pct"/>
            <w:gridSpan w:val="5"/>
            <w:tcBorders>
              <w:top w:val="single" w:color="auto" w:sz="4" w:space="0"/>
              <w:left w:val="single" w:color="auto" w:sz="4" w:space="0"/>
            </w:tcBorders>
            <w:shd w:val="clear" w:color="auto" w:fill="FFFFFF"/>
            <w:vAlign w:val="center"/>
          </w:tcPr>
          <w:p w14:paraId="4B0D62D4">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bookmarkStart w:id="0" w:name="_GoBack"/>
            <w:bookmarkEnd w:id="0"/>
            <w:r>
              <w:rPr>
                <w:rFonts w:hint="default" w:ascii="Times New Roman" w:hAnsi="Times New Roman" w:cs="Times New Roman"/>
                <w:color w:val="auto"/>
                <w:sz w:val="20"/>
                <w:szCs w:val="20"/>
                <w:highlight w:val="none"/>
              </w:rPr>
              <w:t>行政复议</w:t>
            </w:r>
          </w:p>
        </w:tc>
        <w:tc>
          <w:tcPr>
            <w:tcW w:w="3336" w:type="pct"/>
            <w:gridSpan w:val="10"/>
            <w:tcBorders>
              <w:top w:val="single" w:color="auto" w:sz="4" w:space="0"/>
              <w:left w:val="single" w:color="auto" w:sz="4" w:space="0"/>
              <w:right w:val="single" w:color="auto" w:sz="4" w:space="0"/>
            </w:tcBorders>
            <w:shd w:val="clear" w:color="auto" w:fill="FFFFFF"/>
            <w:vAlign w:val="center"/>
          </w:tcPr>
          <w:p w14:paraId="275649EA">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行政诉讼</w:t>
            </w:r>
          </w:p>
        </w:tc>
      </w:tr>
      <w:tr w14:paraId="1973069F">
        <w:tblPrEx>
          <w:tblCellMar>
            <w:top w:w="0" w:type="dxa"/>
            <w:left w:w="10" w:type="dxa"/>
            <w:bottom w:w="0" w:type="dxa"/>
            <w:right w:w="10" w:type="dxa"/>
          </w:tblCellMar>
        </w:tblPrEx>
        <w:trPr>
          <w:trHeight w:val="0" w:hRule="atLeast"/>
          <w:jc w:val="center"/>
        </w:trPr>
        <w:tc>
          <w:tcPr>
            <w:tcW w:w="349" w:type="pct"/>
            <w:vMerge w:val="restart"/>
            <w:tcBorders>
              <w:top w:val="single" w:color="auto" w:sz="4" w:space="0"/>
              <w:left w:val="single" w:color="auto" w:sz="4" w:space="0"/>
            </w:tcBorders>
            <w:shd w:val="clear" w:color="auto" w:fill="FFFFFF"/>
            <w:vAlign w:val="center"/>
          </w:tcPr>
          <w:p w14:paraId="1C0B5D25">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维持</w:t>
            </w:r>
          </w:p>
        </w:tc>
        <w:tc>
          <w:tcPr>
            <w:tcW w:w="349" w:type="pct"/>
            <w:vMerge w:val="restart"/>
            <w:tcBorders>
              <w:top w:val="single" w:color="auto" w:sz="4" w:space="0"/>
              <w:left w:val="single" w:color="auto" w:sz="4" w:space="0"/>
            </w:tcBorders>
            <w:shd w:val="clear" w:color="auto" w:fill="FFFFFF"/>
            <w:vAlign w:val="center"/>
          </w:tcPr>
          <w:p w14:paraId="6113BA02">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纠正</w:t>
            </w:r>
          </w:p>
        </w:tc>
        <w:tc>
          <w:tcPr>
            <w:tcW w:w="349" w:type="pct"/>
            <w:vMerge w:val="restart"/>
            <w:tcBorders>
              <w:top w:val="single" w:color="auto" w:sz="4" w:space="0"/>
              <w:left w:val="single" w:color="auto" w:sz="4" w:space="0"/>
            </w:tcBorders>
            <w:shd w:val="clear" w:color="auto" w:fill="FFFFFF"/>
            <w:vAlign w:val="center"/>
          </w:tcPr>
          <w:p w14:paraId="3DAC754E">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 结果</w:t>
            </w:r>
          </w:p>
        </w:tc>
        <w:tc>
          <w:tcPr>
            <w:tcW w:w="349" w:type="pct"/>
            <w:vMerge w:val="restart"/>
            <w:tcBorders>
              <w:top w:val="single" w:color="auto" w:sz="4" w:space="0"/>
              <w:left w:val="single" w:color="auto" w:sz="4" w:space="0"/>
            </w:tcBorders>
            <w:shd w:val="clear" w:color="auto" w:fill="FFFFFF"/>
            <w:vAlign w:val="center"/>
          </w:tcPr>
          <w:p w14:paraId="35EFBBFA">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尚未 审结</w:t>
            </w:r>
          </w:p>
        </w:tc>
        <w:tc>
          <w:tcPr>
            <w:tcW w:w="265" w:type="pct"/>
            <w:vMerge w:val="restart"/>
            <w:tcBorders>
              <w:top w:val="single" w:color="auto" w:sz="4" w:space="0"/>
              <w:left w:val="single" w:color="auto" w:sz="4" w:space="0"/>
            </w:tcBorders>
            <w:shd w:val="clear" w:color="auto" w:fill="FFFFFF"/>
            <w:textDirection w:val="tbRlV"/>
            <w:vAlign w:val="bottom"/>
          </w:tcPr>
          <w:p w14:paraId="27B8C455">
            <w:pPr>
              <w:pStyle w:val="8"/>
              <w:keepNext w:val="0"/>
              <w:keepLines w:val="0"/>
              <w:pageBreakBefore w:val="0"/>
              <w:widowControl w:val="0"/>
              <w:kinsoku/>
              <w:wordWrap w:val="0"/>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总计</w:t>
            </w:r>
          </w:p>
        </w:tc>
        <w:tc>
          <w:tcPr>
            <w:tcW w:w="1665" w:type="pct"/>
            <w:gridSpan w:val="5"/>
            <w:tcBorders>
              <w:top w:val="single" w:color="auto" w:sz="4" w:space="0"/>
              <w:left w:val="single" w:color="auto" w:sz="4" w:space="0"/>
            </w:tcBorders>
            <w:shd w:val="clear" w:color="auto" w:fill="FFFFFF"/>
            <w:vAlign w:val="center"/>
          </w:tcPr>
          <w:p w14:paraId="2D62D5DC">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未经复议直接起诉</w:t>
            </w:r>
          </w:p>
        </w:tc>
        <w:tc>
          <w:tcPr>
            <w:tcW w:w="1670" w:type="pct"/>
            <w:gridSpan w:val="5"/>
            <w:tcBorders>
              <w:top w:val="single" w:color="auto" w:sz="4" w:space="0"/>
              <w:left w:val="single" w:color="auto" w:sz="4" w:space="0"/>
              <w:right w:val="single" w:color="auto" w:sz="4" w:space="0"/>
            </w:tcBorders>
            <w:shd w:val="clear" w:color="auto" w:fill="FFFFFF"/>
            <w:vAlign w:val="center"/>
          </w:tcPr>
          <w:p w14:paraId="18165159">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复议后起诉</w:t>
            </w:r>
          </w:p>
        </w:tc>
      </w:tr>
      <w:tr w14:paraId="6BF8BA0B">
        <w:tblPrEx>
          <w:tblCellMar>
            <w:top w:w="0" w:type="dxa"/>
            <w:left w:w="10" w:type="dxa"/>
            <w:bottom w:w="0" w:type="dxa"/>
            <w:right w:w="10" w:type="dxa"/>
          </w:tblCellMar>
        </w:tblPrEx>
        <w:trPr>
          <w:trHeight w:val="0" w:hRule="atLeast"/>
          <w:jc w:val="center"/>
        </w:trPr>
        <w:tc>
          <w:tcPr>
            <w:tcW w:w="349" w:type="pct"/>
            <w:vMerge w:val="continue"/>
            <w:tcBorders>
              <w:left w:val="single" w:color="auto" w:sz="4" w:space="0"/>
            </w:tcBorders>
            <w:shd w:val="clear" w:color="auto" w:fill="FFFFFF"/>
            <w:vAlign w:val="center"/>
          </w:tcPr>
          <w:p w14:paraId="5243B51D">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highlight w:val="none"/>
              </w:rPr>
            </w:pPr>
          </w:p>
        </w:tc>
        <w:tc>
          <w:tcPr>
            <w:tcW w:w="349" w:type="pct"/>
            <w:vMerge w:val="continue"/>
            <w:tcBorders>
              <w:left w:val="single" w:color="auto" w:sz="4" w:space="0"/>
            </w:tcBorders>
            <w:shd w:val="clear" w:color="auto" w:fill="FFFFFF"/>
            <w:vAlign w:val="center"/>
          </w:tcPr>
          <w:p w14:paraId="2A028632">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highlight w:val="none"/>
              </w:rPr>
            </w:pPr>
          </w:p>
        </w:tc>
        <w:tc>
          <w:tcPr>
            <w:tcW w:w="349" w:type="pct"/>
            <w:vMerge w:val="continue"/>
            <w:tcBorders>
              <w:left w:val="single" w:color="auto" w:sz="4" w:space="0"/>
            </w:tcBorders>
            <w:shd w:val="clear" w:color="auto" w:fill="FFFFFF"/>
            <w:vAlign w:val="center"/>
          </w:tcPr>
          <w:p w14:paraId="7B47FBB4">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highlight w:val="none"/>
              </w:rPr>
            </w:pPr>
          </w:p>
        </w:tc>
        <w:tc>
          <w:tcPr>
            <w:tcW w:w="349" w:type="pct"/>
            <w:vMerge w:val="continue"/>
            <w:tcBorders>
              <w:left w:val="single" w:color="auto" w:sz="4" w:space="0"/>
            </w:tcBorders>
            <w:shd w:val="clear" w:color="auto" w:fill="FFFFFF"/>
            <w:vAlign w:val="center"/>
          </w:tcPr>
          <w:p w14:paraId="47D38753">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highlight w:val="none"/>
              </w:rPr>
            </w:pPr>
          </w:p>
        </w:tc>
        <w:tc>
          <w:tcPr>
            <w:tcW w:w="265" w:type="pct"/>
            <w:vMerge w:val="continue"/>
            <w:tcBorders>
              <w:left w:val="single" w:color="auto" w:sz="4" w:space="0"/>
            </w:tcBorders>
            <w:shd w:val="clear" w:color="auto" w:fill="FFFFFF"/>
            <w:textDirection w:val="tbRlV"/>
            <w:vAlign w:val="bottom"/>
          </w:tcPr>
          <w:p w14:paraId="6774B4EA">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highlight w:val="none"/>
              </w:rPr>
            </w:pPr>
          </w:p>
        </w:tc>
        <w:tc>
          <w:tcPr>
            <w:tcW w:w="350" w:type="pct"/>
            <w:tcBorders>
              <w:top w:val="single" w:color="auto" w:sz="4" w:space="0"/>
              <w:left w:val="single" w:color="auto" w:sz="4" w:space="0"/>
            </w:tcBorders>
            <w:shd w:val="clear" w:color="auto" w:fill="FFFFFF"/>
            <w:vAlign w:val="center"/>
          </w:tcPr>
          <w:p w14:paraId="05BB2630">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维持</w:t>
            </w:r>
          </w:p>
        </w:tc>
        <w:tc>
          <w:tcPr>
            <w:tcW w:w="350" w:type="pct"/>
            <w:tcBorders>
              <w:top w:val="single" w:color="auto" w:sz="4" w:space="0"/>
              <w:left w:val="single" w:color="auto" w:sz="4" w:space="0"/>
            </w:tcBorders>
            <w:shd w:val="clear" w:color="auto" w:fill="FFFFFF"/>
            <w:vAlign w:val="center"/>
          </w:tcPr>
          <w:p w14:paraId="62DEC6BD">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纠正</w:t>
            </w:r>
          </w:p>
        </w:tc>
        <w:tc>
          <w:tcPr>
            <w:tcW w:w="350" w:type="pct"/>
            <w:tcBorders>
              <w:top w:val="single" w:color="auto" w:sz="4" w:space="0"/>
              <w:left w:val="single" w:color="auto" w:sz="4" w:space="0"/>
            </w:tcBorders>
            <w:shd w:val="clear" w:color="auto" w:fill="FFFFFF"/>
            <w:vAlign w:val="center"/>
          </w:tcPr>
          <w:p w14:paraId="56DEA8C4">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 结果</w:t>
            </w:r>
          </w:p>
        </w:tc>
        <w:tc>
          <w:tcPr>
            <w:tcW w:w="350" w:type="pct"/>
            <w:tcBorders>
              <w:top w:val="single" w:color="auto" w:sz="4" w:space="0"/>
              <w:left w:val="single" w:color="auto" w:sz="4" w:space="0"/>
            </w:tcBorders>
            <w:shd w:val="clear" w:color="auto" w:fill="FFFFFF"/>
            <w:vAlign w:val="center"/>
          </w:tcPr>
          <w:p w14:paraId="6468E1EB">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尚未 审结</w:t>
            </w:r>
          </w:p>
        </w:tc>
        <w:tc>
          <w:tcPr>
            <w:tcW w:w="265" w:type="pct"/>
            <w:tcBorders>
              <w:top w:val="single" w:color="auto" w:sz="4" w:space="0"/>
              <w:left w:val="single" w:color="auto" w:sz="4" w:space="0"/>
            </w:tcBorders>
            <w:shd w:val="clear" w:color="auto" w:fill="FFFFFF"/>
            <w:textDirection w:val="tbRlV"/>
          </w:tcPr>
          <w:p w14:paraId="5B95927A">
            <w:pPr>
              <w:pStyle w:val="8"/>
              <w:keepNext w:val="0"/>
              <w:keepLines w:val="0"/>
              <w:pageBreakBefore w:val="0"/>
              <w:widowControl w:val="0"/>
              <w:kinsoku/>
              <w:wordWrap w:val="0"/>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总计</w:t>
            </w:r>
          </w:p>
        </w:tc>
        <w:tc>
          <w:tcPr>
            <w:tcW w:w="350" w:type="pct"/>
            <w:tcBorders>
              <w:top w:val="single" w:color="auto" w:sz="4" w:space="0"/>
              <w:left w:val="single" w:color="auto" w:sz="4" w:space="0"/>
            </w:tcBorders>
            <w:shd w:val="clear" w:color="auto" w:fill="FFFFFF"/>
            <w:vAlign w:val="center"/>
          </w:tcPr>
          <w:p w14:paraId="1426DD0C">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维持</w:t>
            </w:r>
          </w:p>
        </w:tc>
        <w:tc>
          <w:tcPr>
            <w:tcW w:w="351" w:type="pct"/>
            <w:tcBorders>
              <w:top w:val="single" w:color="auto" w:sz="4" w:space="0"/>
              <w:left w:val="single" w:color="auto" w:sz="4" w:space="0"/>
            </w:tcBorders>
            <w:shd w:val="clear" w:color="auto" w:fill="FFFFFF"/>
            <w:vAlign w:val="center"/>
          </w:tcPr>
          <w:p w14:paraId="76114C7D">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结果 纠正</w:t>
            </w:r>
          </w:p>
        </w:tc>
        <w:tc>
          <w:tcPr>
            <w:tcW w:w="351" w:type="pct"/>
            <w:tcBorders>
              <w:top w:val="single" w:color="auto" w:sz="4" w:space="0"/>
              <w:left w:val="single" w:color="auto" w:sz="4" w:space="0"/>
            </w:tcBorders>
            <w:shd w:val="clear" w:color="auto" w:fill="FFFFFF"/>
            <w:vAlign w:val="center"/>
          </w:tcPr>
          <w:p w14:paraId="725E360F">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 结果</w:t>
            </w:r>
          </w:p>
        </w:tc>
        <w:tc>
          <w:tcPr>
            <w:tcW w:w="351" w:type="pct"/>
            <w:tcBorders>
              <w:top w:val="single" w:color="auto" w:sz="4" w:space="0"/>
              <w:left w:val="single" w:color="auto" w:sz="4" w:space="0"/>
            </w:tcBorders>
            <w:shd w:val="clear" w:color="auto" w:fill="FFFFFF"/>
            <w:vAlign w:val="center"/>
          </w:tcPr>
          <w:p w14:paraId="2711D45F">
            <w:pPr>
              <w:pStyle w:val="10"/>
              <w:keepNext w:val="0"/>
              <w:keepLines w:val="0"/>
              <w:pageBreakBefore w:val="0"/>
              <w:widowControl w:val="0"/>
              <w:kinsoku/>
              <w:wordWrap w:val="0"/>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尚未 审结</w:t>
            </w:r>
          </w:p>
        </w:tc>
        <w:tc>
          <w:tcPr>
            <w:tcW w:w="266" w:type="pct"/>
            <w:tcBorders>
              <w:top w:val="single" w:color="auto" w:sz="4" w:space="0"/>
              <w:left w:val="single" w:color="auto" w:sz="4" w:space="0"/>
              <w:right w:val="single" w:color="auto" w:sz="4" w:space="0"/>
            </w:tcBorders>
            <w:shd w:val="clear" w:color="auto" w:fill="FFFFFF"/>
            <w:textDirection w:val="tbRlV"/>
          </w:tcPr>
          <w:p w14:paraId="62E5EB5E">
            <w:pPr>
              <w:pStyle w:val="8"/>
              <w:keepNext w:val="0"/>
              <w:keepLines w:val="0"/>
              <w:pageBreakBefore w:val="0"/>
              <w:widowControl w:val="0"/>
              <w:kinsoku/>
              <w:wordWrap w:val="0"/>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总计</w:t>
            </w:r>
          </w:p>
        </w:tc>
      </w:tr>
      <w:tr w14:paraId="5302B677">
        <w:tblPrEx>
          <w:tblCellMar>
            <w:top w:w="0" w:type="dxa"/>
            <w:left w:w="10" w:type="dxa"/>
            <w:bottom w:w="0" w:type="dxa"/>
            <w:right w:w="10" w:type="dxa"/>
          </w:tblCellMar>
        </w:tblPrEx>
        <w:trPr>
          <w:trHeight w:val="0" w:hRule="atLeast"/>
          <w:jc w:val="center"/>
        </w:trPr>
        <w:tc>
          <w:tcPr>
            <w:tcW w:w="349" w:type="pct"/>
            <w:tcBorders>
              <w:top w:val="single" w:color="auto" w:sz="4" w:space="0"/>
              <w:left w:val="single" w:color="auto" w:sz="4" w:space="0"/>
              <w:bottom w:val="single" w:color="auto" w:sz="4" w:space="0"/>
            </w:tcBorders>
            <w:shd w:val="clear" w:color="auto" w:fill="FFFFFF"/>
            <w:vAlign w:val="center"/>
          </w:tcPr>
          <w:p w14:paraId="30A803B4">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3</w:t>
            </w:r>
          </w:p>
        </w:tc>
        <w:tc>
          <w:tcPr>
            <w:tcW w:w="349" w:type="pct"/>
            <w:tcBorders>
              <w:top w:val="single" w:color="auto" w:sz="4" w:space="0"/>
              <w:left w:val="single" w:color="auto" w:sz="4" w:space="0"/>
              <w:bottom w:val="single" w:color="auto" w:sz="4" w:space="0"/>
            </w:tcBorders>
            <w:shd w:val="clear" w:color="auto" w:fill="FFFFFF"/>
            <w:vAlign w:val="center"/>
          </w:tcPr>
          <w:p w14:paraId="29A23BC7">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0</w:t>
            </w:r>
          </w:p>
        </w:tc>
        <w:tc>
          <w:tcPr>
            <w:tcW w:w="349" w:type="pct"/>
            <w:tcBorders>
              <w:top w:val="single" w:color="auto" w:sz="4" w:space="0"/>
              <w:left w:val="single" w:color="auto" w:sz="4" w:space="0"/>
              <w:bottom w:val="single" w:color="auto" w:sz="4" w:space="0"/>
            </w:tcBorders>
            <w:shd w:val="clear" w:color="auto" w:fill="FFFFFF"/>
            <w:vAlign w:val="center"/>
          </w:tcPr>
          <w:p w14:paraId="4D65EC90">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0</w:t>
            </w:r>
          </w:p>
        </w:tc>
        <w:tc>
          <w:tcPr>
            <w:tcW w:w="349" w:type="pct"/>
            <w:tcBorders>
              <w:top w:val="single" w:color="auto" w:sz="4" w:space="0"/>
              <w:left w:val="single" w:color="auto" w:sz="4" w:space="0"/>
              <w:bottom w:val="single" w:color="auto" w:sz="4" w:space="0"/>
            </w:tcBorders>
            <w:shd w:val="clear" w:color="auto" w:fill="FFFFFF"/>
            <w:vAlign w:val="center"/>
          </w:tcPr>
          <w:p w14:paraId="4F1B6188">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2</w:t>
            </w:r>
          </w:p>
        </w:tc>
        <w:tc>
          <w:tcPr>
            <w:tcW w:w="265" w:type="pct"/>
            <w:tcBorders>
              <w:top w:val="single" w:color="auto" w:sz="4" w:space="0"/>
              <w:left w:val="single" w:color="auto" w:sz="4" w:space="0"/>
              <w:bottom w:val="single" w:color="auto" w:sz="4" w:space="0"/>
            </w:tcBorders>
            <w:shd w:val="clear" w:color="auto" w:fill="FFFFFF"/>
            <w:vAlign w:val="center"/>
          </w:tcPr>
          <w:p w14:paraId="04DB77DD">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5</w:t>
            </w:r>
          </w:p>
        </w:tc>
        <w:tc>
          <w:tcPr>
            <w:tcW w:w="350" w:type="pct"/>
            <w:tcBorders>
              <w:top w:val="single" w:color="auto" w:sz="4" w:space="0"/>
              <w:left w:val="single" w:color="auto" w:sz="4" w:space="0"/>
              <w:bottom w:val="single" w:color="auto" w:sz="4" w:space="0"/>
            </w:tcBorders>
            <w:shd w:val="clear" w:color="auto" w:fill="FFFFFF"/>
            <w:vAlign w:val="center"/>
          </w:tcPr>
          <w:p w14:paraId="5695DFC1">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0</w:t>
            </w:r>
          </w:p>
        </w:tc>
        <w:tc>
          <w:tcPr>
            <w:tcW w:w="350" w:type="pct"/>
            <w:tcBorders>
              <w:top w:val="single" w:color="auto" w:sz="4" w:space="0"/>
              <w:left w:val="single" w:color="auto" w:sz="4" w:space="0"/>
              <w:bottom w:val="single" w:color="auto" w:sz="4" w:space="0"/>
            </w:tcBorders>
            <w:shd w:val="clear" w:color="auto" w:fill="FFFFFF"/>
            <w:vAlign w:val="center"/>
          </w:tcPr>
          <w:p w14:paraId="7B8DF618">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0</w:t>
            </w:r>
          </w:p>
        </w:tc>
        <w:tc>
          <w:tcPr>
            <w:tcW w:w="350" w:type="pct"/>
            <w:tcBorders>
              <w:top w:val="single" w:color="auto" w:sz="4" w:space="0"/>
              <w:left w:val="single" w:color="auto" w:sz="4" w:space="0"/>
              <w:bottom w:val="single" w:color="auto" w:sz="4" w:space="0"/>
            </w:tcBorders>
            <w:shd w:val="clear" w:color="auto" w:fill="FFFFFF"/>
            <w:vAlign w:val="center"/>
          </w:tcPr>
          <w:p w14:paraId="67483A4E">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0</w:t>
            </w:r>
          </w:p>
        </w:tc>
        <w:tc>
          <w:tcPr>
            <w:tcW w:w="350" w:type="pct"/>
            <w:tcBorders>
              <w:top w:val="single" w:color="auto" w:sz="4" w:space="0"/>
              <w:left w:val="single" w:color="auto" w:sz="4" w:space="0"/>
              <w:bottom w:val="single" w:color="auto" w:sz="4" w:space="0"/>
            </w:tcBorders>
            <w:shd w:val="clear" w:color="auto" w:fill="FFFFFF"/>
            <w:vAlign w:val="center"/>
          </w:tcPr>
          <w:p w14:paraId="7F607621">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0</w:t>
            </w:r>
          </w:p>
        </w:tc>
        <w:tc>
          <w:tcPr>
            <w:tcW w:w="265" w:type="pct"/>
            <w:tcBorders>
              <w:top w:val="single" w:color="auto" w:sz="4" w:space="0"/>
              <w:left w:val="single" w:color="auto" w:sz="4" w:space="0"/>
              <w:bottom w:val="single" w:color="auto" w:sz="4" w:space="0"/>
            </w:tcBorders>
            <w:shd w:val="clear" w:color="auto" w:fill="FFFFFF"/>
            <w:vAlign w:val="center"/>
          </w:tcPr>
          <w:p w14:paraId="77927A3D">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0</w:t>
            </w:r>
          </w:p>
        </w:tc>
        <w:tc>
          <w:tcPr>
            <w:tcW w:w="350" w:type="pct"/>
            <w:tcBorders>
              <w:top w:val="single" w:color="auto" w:sz="4" w:space="0"/>
              <w:left w:val="single" w:color="auto" w:sz="4" w:space="0"/>
              <w:bottom w:val="single" w:color="auto" w:sz="4" w:space="0"/>
            </w:tcBorders>
            <w:shd w:val="clear" w:color="auto" w:fill="FFFFFF"/>
            <w:vAlign w:val="center"/>
          </w:tcPr>
          <w:p w14:paraId="5E5F79A8">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4CD8766F">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2157239C">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1</w:t>
            </w:r>
          </w:p>
        </w:tc>
        <w:tc>
          <w:tcPr>
            <w:tcW w:w="351" w:type="pct"/>
            <w:tcBorders>
              <w:top w:val="single" w:color="auto" w:sz="4" w:space="0"/>
              <w:left w:val="single" w:color="auto" w:sz="4" w:space="0"/>
              <w:bottom w:val="single" w:color="auto" w:sz="4" w:space="0"/>
            </w:tcBorders>
            <w:shd w:val="clear" w:color="auto" w:fill="FFFFFF"/>
            <w:vAlign w:val="center"/>
          </w:tcPr>
          <w:p w14:paraId="60DCBF77">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w:t>
            </w:r>
          </w:p>
        </w:tc>
        <w:tc>
          <w:tcPr>
            <w:tcW w:w="266" w:type="pct"/>
            <w:tcBorders>
              <w:top w:val="single" w:color="auto" w:sz="4" w:space="0"/>
              <w:left w:val="single" w:color="auto" w:sz="4" w:space="0"/>
              <w:bottom w:val="single" w:color="auto" w:sz="4" w:space="0"/>
              <w:right w:val="single" w:color="auto" w:sz="4" w:space="0"/>
            </w:tcBorders>
            <w:shd w:val="clear" w:color="auto" w:fill="FFFFFF"/>
            <w:vAlign w:val="center"/>
          </w:tcPr>
          <w:p w14:paraId="1C77730C">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w:t>
            </w:r>
          </w:p>
        </w:tc>
      </w:tr>
    </w:tbl>
    <w:p w14:paraId="3298FD73">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eastAsia="zh-CN" w:bidi="ar-SA"/>
        </w:rPr>
      </w:pPr>
      <w:r>
        <w:rPr>
          <w:rFonts w:hint="default" w:ascii="Times New Roman" w:hAnsi="Times New Roman" w:eastAsia="黑体" w:cs="Times New Roman"/>
          <w:color w:val="auto"/>
          <w:sz w:val="32"/>
          <w:szCs w:val="32"/>
          <w:highlight w:val="none"/>
          <w:lang w:val="en-US" w:eastAsia="zh-CN" w:bidi="ar-SA"/>
        </w:rPr>
        <w:t>五、</w:t>
      </w:r>
      <w:r>
        <w:rPr>
          <w:rFonts w:hint="default" w:ascii="Times New Roman" w:hAnsi="Times New Roman" w:eastAsia="黑体" w:cs="Times New Roman"/>
          <w:color w:val="auto"/>
          <w:sz w:val="32"/>
          <w:szCs w:val="32"/>
          <w:highlight w:val="none"/>
          <w:lang w:eastAsia="zh-CN" w:bidi="ar-SA"/>
        </w:rPr>
        <w:t>存在的主要问题及改进情况</w:t>
      </w:r>
    </w:p>
    <w:p w14:paraId="0166ECEE">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bidi="ar-SA"/>
        </w:rPr>
      </w:pPr>
      <w:r>
        <w:rPr>
          <w:rFonts w:hint="default" w:ascii="Times New Roman" w:hAnsi="Times New Roman" w:eastAsia="楷体_GB2312" w:cs="Times New Roman"/>
          <w:b/>
          <w:bCs/>
          <w:color w:val="auto"/>
          <w:sz w:val="32"/>
          <w:szCs w:val="32"/>
          <w:highlight w:val="none"/>
          <w:lang w:val="en-US" w:eastAsia="zh-CN" w:bidi="ar-SA"/>
        </w:rPr>
        <w:t>（一）202</w:t>
      </w:r>
      <w:r>
        <w:rPr>
          <w:rFonts w:hint="eastAsia" w:eastAsia="楷体_GB2312" w:cs="Times New Roman"/>
          <w:b/>
          <w:bCs/>
          <w:color w:val="auto"/>
          <w:sz w:val="32"/>
          <w:szCs w:val="32"/>
          <w:highlight w:val="none"/>
          <w:lang w:val="en-US" w:eastAsia="zh-CN" w:bidi="ar-SA"/>
        </w:rPr>
        <w:t>4</w:t>
      </w:r>
      <w:r>
        <w:rPr>
          <w:rFonts w:hint="default" w:ascii="Times New Roman" w:hAnsi="Times New Roman" w:eastAsia="楷体_GB2312" w:cs="Times New Roman"/>
          <w:b/>
          <w:bCs/>
          <w:color w:val="auto"/>
          <w:sz w:val="32"/>
          <w:szCs w:val="32"/>
          <w:highlight w:val="none"/>
          <w:lang w:val="en-US" w:eastAsia="zh-CN" w:bidi="ar-SA"/>
        </w:rPr>
        <w:t>年存在问题整改情况</w:t>
      </w:r>
    </w:p>
    <w:p w14:paraId="47299DA5">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针对202</w:t>
      </w:r>
      <w:r>
        <w:rPr>
          <w:rFonts w:hint="eastAsia" w:eastAsia="仿宋_GB2312" w:cs="Times New Roman"/>
          <w:b w:val="0"/>
          <w:bCs w:val="0"/>
          <w:color w:val="auto"/>
          <w:kern w:val="0"/>
          <w:sz w:val="32"/>
          <w:szCs w:val="32"/>
          <w:highlight w:val="none"/>
          <w:shd w:val="clear" w:color="auto" w:fill="FFFFFF"/>
          <w:lang w:val="en-US" w:eastAsia="zh-CN" w:bidi="en-US"/>
        </w:rPr>
        <w:t>4</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年存在信息公开平台建设、综合服务水平还有待提高，部分栏目的公开内容更新不够及时</w:t>
      </w:r>
      <w:r>
        <w:rPr>
          <w:rFonts w:hint="eastAsia" w:eastAsia="仿宋_GB2312" w:cs="Times New Roman"/>
          <w:b w:val="0"/>
          <w:bCs w:val="0"/>
          <w:color w:val="auto"/>
          <w:kern w:val="0"/>
          <w:sz w:val="32"/>
          <w:szCs w:val="32"/>
          <w:highlight w:val="none"/>
          <w:shd w:val="clear" w:color="auto" w:fill="FFFFFF"/>
          <w:lang w:val="en-US" w:eastAsia="zh-CN" w:bidi="en-US"/>
        </w:rPr>
        <w:t>等问题。</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一是梳理完善公开事项清单并动态更新，严格信息审核与发布流程，同步做好政策解读，切实提高群众满意度。二是加强主动公开与依申请公开信息宣传，通过政务新媒体等多渠道普及</w:t>
      </w:r>
      <w:r>
        <w:rPr>
          <w:rFonts w:hint="eastAsia" w:eastAsia="仿宋_GB2312" w:cs="Times New Roman"/>
          <w:b w:val="0"/>
          <w:bCs w:val="0"/>
          <w:color w:val="auto"/>
          <w:kern w:val="0"/>
          <w:sz w:val="32"/>
          <w:szCs w:val="32"/>
          <w:highlight w:val="none"/>
          <w:shd w:val="clear" w:color="auto" w:fill="FFFFFF"/>
          <w:lang w:val="en-US" w:eastAsia="zh-CN" w:bidi="en-US"/>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打通信息沟通渠道。</w:t>
      </w:r>
    </w:p>
    <w:p w14:paraId="49C9C58F">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bidi="ar-SA"/>
        </w:rPr>
      </w:pPr>
      <w:r>
        <w:rPr>
          <w:rFonts w:hint="default" w:ascii="Times New Roman" w:hAnsi="Times New Roman" w:eastAsia="楷体_GB2312" w:cs="Times New Roman"/>
          <w:b/>
          <w:bCs/>
          <w:color w:val="auto"/>
          <w:sz w:val="32"/>
          <w:szCs w:val="32"/>
          <w:highlight w:val="none"/>
          <w:lang w:val="en-US" w:eastAsia="zh-CN" w:bidi="ar-SA"/>
        </w:rPr>
        <w:t>（二）202</w:t>
      </w:r>
      <w:r>
        <w:rPr>
          <w:rFonts w:hint="eastAsia" w:eastAsia="楷体_GB2312" w:cs="Times New Roman"/>
          <w:b/>
          <w:bCs/>
          <w:color w:val="auto"/>
          <w:sz w:val="32"/>
          <w:szCs w:val="32"/>
          <w:highlight w:val="none"/>
          <w:lang w:val="en-US" w:eastAsia="zh-CN" w:bidi="ar-SA"/>
        </w:rPr>
        <w:t>5</w:t>
      </w:r>
      <w:r>
        <w:rPr>
          <w:rFonts w:hint="default" w:ascii="Times New Roman" w:hAnsi="Times New Roman" w:eastAsia="楷体_GB2312" w:cs="Times New Roman"/>
          <w:b/>
          <w:bCs/>
          <w:color w:val="auto"/>
          <w:sz w:val="32"/>
          <w:szCs w:val="32"/>
          <w:highlight w:val="none"/>
          <w:lang w:val="en-US" w:eastAsia="zh-CN" w:bidi="ar-SA"/>
        </w:rPr>
        <w:t>年存在问题</w:t>
      </w:r>
    </w:p>
    <w:p w14:paraId="07A1E273">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2025年，政府信息公开工作整体运行稳定、流程规范、执行有序</w:t>
      </w:r>
      <w:r>
        <w:rPr>
          <w:rFonts w:hint="eastAsia" w:eastAsia="仿宋_GB2312" w:cs="Times New Roman"/>
          <w:b w:val="0"/>
          <w:bCs w:val="0"/>
          <w:color w:val="auto"/>
          <w:kern w:val="0"/>
          <w:sz w:val="32"/>
          <w:szCs w:val="32"/>
          <w:highlight w:val="none"/>
          <w:shd w:val="clear" w:color="auto" w:fill="FFFFFF"/>
          <w:lang w:val="en-US" w:eastAsia="zh-CN" w:bidi="en-US"/>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但还存在部分</w:t>
      </w:r>
      <w:r>
        <w:rPr>
          <w:rFonts w:hint="eastAsia" w:eastAsia="仿宋_GB2312" w:cs="Times New Roman"/>
          <w:b w:val="0"/>
          <w:bCs w:val="0"/>
          <w:color w:val="auto"/>
          <w:kern w:val="0"/>
          <w:sz w:val="32"/>
          <w:szCs w:val="32"/>
          <w:highlight w:val="none"/>
          <w:shd w:val="clear" w:color="auto" w:fill="FFFFFF"/>
          <w:lang w:val="en-US" w:eastAsia="zh-CN" w:bidi="en-US"/>
        </w:rPr>
        <w:t>依</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申请</w:t>
      </w:r>
      <w:r>
        <w:rPr>
          <w:rFonts w:hint="eastAsia" w:eastAsia="仿宋_GB2312" w:cs="Times New Roman"/>
          <w:b w:val="0"/>
          <w:bCs w:val="0"/>
          <w:color w:val="auto"/>
          <w:kern w:val="0"/>
          <w:sz w:val="32"/>
          <w:szCs w:val="32"/>
          <w:highlight w:val="none"/>
          <w:shd w:val="clear" w:color="auto" w:fill="FFFFFF"/>
          <w:lang w:val="en-US" w:eastAsia="zh-CN" w:bidi="en-US"/>
        </w:rPr>
        <w:t>公开的办理过程中沟通服务意识有待提升的问题。</w:t>
      </w:r>
    </w:p>
    <w:p w14:paraId="6E324A7E">
      <w:pPr>
        <w:keepNext w:val="0"/>
        <w:keepLines w:val="0"/>
        <w:pageBreakBefore w:val="0"/>
        <w:widowControl/>
        <w:numPr>
          <w:ilvl w:val="0"/>
          <w:numId w:val="0"/>
        </w:numPr>
        <w:shd w:val="clear" w:color="auto" w:fill="FFFFFF"/>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bidi="ar-SA"/>
        </w:rPr>
      </w:pPr>
      <w:r>
        <w:rPr>
          <w:rFonts w:hint="default" w:ascii="Times New Roman" w:hAnsi="Times New Roman" w:eastAsia="楷体_GB2312" w:cs="Times New Roman"/>
          <w:b/>
          <w:bCs/>
          <w:color w:val="auto"/>
          <w:sz w:val="32"/>
          <w:szCs w:val="32"/>
          <w:highlight w:val="none"/>
          <w:lang w:val="en-US" w:eastAsia="zh-CN" w:bidi="ar-SA"/>
        </w:rPr>
        <w:t>（三）改进措施</w:t>
      </w:r>
    </w:p>
    <w:p w14:paraId="0D10B1DA">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一是</w:t>
      </w:r>
      <w:r>
        <w:rPr>
          <w:rFonts w:hint="eastAsia" w:eastAsia="仿宋_GB2312" w:cs="Times New Roman"/>
          <w:b w:val="0"/>
          <w:bCs w:val="0"/>
          <w:color w:val="auto"/>
          <w:kern w:val="0"/>
          <w:sz w:val="32"/>
          <w:szCs w:val="32"/>
          <w:highlight w:val="none"/>
          <w:shd w:val="clear" w:color="auto" w:fill="FFFFFF"/>
          <w:lang w:val="en-US" w:eastAsia="zh-CN" w:bidi="en-US"/>
        </w:rPr>
        <w:t>加强业务科室与法律顾问之间的沟通交流，不断提高办理人员的业务水平。二是面对内容不明确的申请，主动对接申请人，做好答疑解惑与指引，将被动式答复升级为主动式服务。</w:t>
      </w:r>
    </w:p>
    <w:p w14:paraId="654E1F20">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30"/>
        <w:jc w:val="both"/>
        <w:textAlignment w:val="auto"/>
        <w:rPr>
          <w:rFonts w:hint="default" w:ascii="Times New Roman" w:hAnsi="Times New Roman" w:eastAsia="黑体" w:cs="Times New Roman"/>
          <w:color w:val="auto"/>
          <w:sz w:val="32"/>
          <w:szCs w:val="32"/>
          <w:highlight w:val="none"/>
          <w:lang w:eastAsia="zh-CN" w:bidi="zh-TW"/>
        </w:rPr>
      </w:pPr>
      <w:r>
        <w:rPr>
          <w:rFonts w:hint="default" w:ascii="Times New Roman" w:hAnsi="Times New Roman" w:eastAsia="黑体" w:cs="Times New Roman"/>
          <w:color w:val="auto"/>
          <w:sz w:val="32"/>
          <w:szCs w:val="32"/>
          <w:highlight w:val="none"/>
          <w:lang w:val="en-US" w:eastAsia="zh-CN" w:bidi="zh-TW"/>
        </w:rPr>
        <w:t>六、</w:t>
      </w:r>
      <w:r>
        <w:rPr>
          <w:rFonts w:hint="default" w:ascii="Times New Roman" w:hAnsi="Times New Roman" w:eastAsia="黑体" w:cs="Times New Roman"/>
          <w:color w:val="auto"/>
          <w:sz w:val="32"/>
          <w:szCs w:val="32"/>
          <w:highlight w:val="none"/>
          <w:lang w:eastAsia="zh-CN" w:bidi="zh-TW"/>
        </w:rPr>
        <w:t>其他需要报告的事项</w:t>
      </w:r>
    </w:p>
    <w:p w14:paraId="344151A0">
      <w:pPr>
        <w:pStyle w:val="3"/>
        <w:keepNext w:val="0"/>
        <w:keepLines w:val="0"/>
        <w:pageBreakBefore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3" w:firstLineChars="200"/>
        <w:jc w:val="both"/>
        <w:textAlignment w:val="auto"/>
        <w:outlineLvl w:val="3"/>
        <w:rPr>
          <w:rFonts w:hint="default" w:ascii="Times New Roman" w:hAnsi="Times New Roman" w:eastAsia="楷体_GB2312" w:cs="Times New Roman"/>
          <w:color w:val="auto"/>
          <w:sz w:val="32"/>
          <w:szCs w:val="32"/>
          <w:highlight w:val="none"/>
          <w:shd w:val="clear" w:color="auto" w:fill="FFFFFF"/>
          <w:lang w:eastAsia="zh-CN"/>
        </w:rPr>
      </w:pPr>
      <w:r>
        <w:rPr>
          <w:rFonts w:hint="default" w:ascii="Times New Roman" w:hAnsi="Times New Roman" w:eastAsia="楷体_GB2312" w:cs="Times New Roman"/>
          <w:b/>
          <w:bCs/>
          <w:color w:val="auto"/>
          <w:sz w:val="32"/>
          <w:szCs w:val="32"/>
          <w:highlight w:val="none"/>
          <w:shd w:val="clear" w:color="auto" w:fill="FFFFFF"/>
          <w:lang w:val="en-US" w:eastAsia="zh-CN"/>
        </w:rPr>
        <w:t>（一）收取信息处理费的情况</w:t>
      </w:r>
    </w:p>
    <w:p w14:paraId="4F457E8E">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本年度依申请公开政府信息</w:t>
      </w:r>
      <w:r>
        <w:rPr>
          <w:rFonts w:hint="eastAsia" w:eastAsia="仿宋_GB2312" w:cs="Times New Roman"/>
          <w:b w:val="0"/>
          <w:bCs w:val="0"/>
          <w:color w:val="auto"/>
          <w:kern w:val="0"/>
          <w:sz w:val="32"/>
          <w:szCs w:val="32"/>
          <w:highlight w:val="none"/>
          <w:shd w:val="clear" w:color="auto" w:fill="FFFFFF"/>
          <w:lang w:val="en-US" w:eastAsia="zh-CN" w:bidi="en-US"/>
        </w:rPr>
        <w:t>未</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收取</w:t>
      </w:r>
      <w:r>
        <w:rPr>
          <w:rFonts w:hint="eastAsia" w:eastAsia="仿宋_GB2312" w:cs="Times New Roman"/>
          <w:b w:val="0"/>
          <w:bCs w:val="0"/>
          <w:color w:val="auto"/>
          <w:kern w:val="0"/>
          <w:sz w:val="32"/>
          <w:szCs w:val="32"/>
          <w:highlight w:val="none"/>
          <w:shd w:val="clear" w:color="auto" w:fill="FFFFFF"/>
          <w:lang w:val="en-US" w:eastAsia="zh-CN" w:bidi="en-US"/>
        </w:rPr>
        <w:t>任何</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费用。</w:t>
      </w:r>
    </w:p>
    <w:p w14:paraId="34EDF261">
      <w:pPr>
        <w:pStyle w:val="3"/>
        <w:keepNext w:val="0"/>
        <w:keepLines w:val="0"/>
        <w:pageBreakBefore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3" w:firstLineChars="200"/>
        <w:jc w:val="both"/>
        <w:textAlignment w:val="auto"/>
        <w:outlineLvl w:val="3"/>
        <w:rPr>
          <w:rFonts w:hint="default" w:ascii="Times New Roman" w:hAnsi="Times New Roman" w:eastAsia="楷体_GB2312" w:cs="Times New Roman"/>
          <w:b/>
          <w:bCs/>
          <w:color w:val="auto"/>
          <w:sz w:val="32"/>
          <w:szCs w:val="32"/>
          <w:highlight w:val="none"/>
          <w:shd w:val="clear" w:color="auto" w:fill="FFFFFF"/>
          <w:lang w:val="en-US" w:eastAsia="zh-CN"/>
        </w:rPr>
      </w:pPr>
      <w:r>
        <w:rPr>
          <w:rFonts w:hint="default" w:ascii="Times New Roman" w:hAnsi="Times New Roman" w:eastAsia="楷体_GB2312" w:cs="Times New Roman"/>
          <w:b/>
          <w:bCs/>
          <w:color w:val="auto"/>
          <w:sz w:val="32"/>
          <w:szCs w:val="32"/>
          <w:highlight w:val="none"/>
          <w:shd w:val="clear" w:color="auto" w:fill="FFFFFF"/>
          <w:lang w:val="en-US" w:eastAsia="zh-CN"/>
        </w:rPr>
        <w:t>（二）落实上级年度政务公开工作要点情况</w:t>
      </w:r>
    </w:p>
    <w:p w14:paraId="2B6C6136">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严格按照上级年度政务公开工作要点，积极研究安排落实措施，结合本单位实际，明确责任分工，积极推动政府信息公开工作严格执行。</w:t>
      </w:r>
    </w:p>
    <w:p w14:paraId="746EA3F3">
      <w:pPr>
        <w:keepNext w:val="0"/>
        <w:keepLines w:val="0"/>
        <w:pageBreakBefore w:val="0"/>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en-US"/>
        </w:rPr>
      </w:pPr>
      <w:r>
        <w:rPr>
          <w:rFonts w:hint="default" w:ascii="Times New Roman" w:hAnsi="Times New Roman" w:eastAsia="楷体_GB2312" w:cs="Times New Roman"/>
          <w:b/>
          <w:bCs/>
          <w:color w:val="auto"/>
          <w:kern w:val="0"/>
          <w:sz w:val="32"/>
          <w:szCs w:val="32"/>
          <w:highlight w:val="none"/>
          <w:shd w:val="clear" w:color="auto" w:fill="FFFFFF"/>
          <w:lang w:val="en-US" w:eastAsia="zh-CN" w:bidi="en-US"/>
        </w:rPr>
        <w:t>（三）人大代表建议和政协委员提案办理情况</w:t>
      </w:r>
    </w:p>
    <w:p w14:paraId="243EC3BA">
      <w:pPr>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202</w:t>
      </w:r>
      <w:r>
        <w:rPr>
          <w:rFonts w:hint="eastAsia" w:eastAsia="仿宋_GB2312" w:cs="Times New Roman"/>
          <w:b w:val="0"/>
          <w:bCs w:val="0"/>
          <w:color w:val="auto"/>
          <w:kern w:val="0"/>
          <w:sz w:val="32"/>
          <w:szCs w:val="32"/>
          <w:highlight w:val="none"/>
          <w:shd w:val="clear" w:color="auto" w:fill="FFFFFF"/>
          <w:lang w:val="en-US" w:eastAsia="zh-CN" w:bidi="en-US"/>
        </w:rPr>
        <w:t>5</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年，</w:t>
      </w:r>
      <w:r>
        <w:rPr>
          <w:rFonts w:hint="eastAsia" w:eastAsia="仿宋_GB2312" w:cs="Times New Roman"/>
          <w:b w:val="0"/>
          <w:bCs w:val="0"/>
          <w:color w:val="auto"/>
          <w:kern w:val="0"/>
          <w:sz w:val="32"/>
          <w:szCs w:val="32"/>
          <w:highlight w:val="none"/>
          <w:shd w:val="clear" w:color="auto" w:fill="FFFFFF"/>
          <w:lang w:val="en-US" w:eastAsia="zh-CN" w:bidi="en-US"/>
        </w:rPr>
        <w:t>我</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局共承办区级人大代表建议</w:t>
      </w:r>
      <w:r>
        <w:rPr>
          <w:rFonts w:hint="eastAsia" w:eastAsia="仿宋_GB2312" w:cs="Times New Roman"/>
          <w:b w:val="0"/>
          <w:bCs w:val="0"/>
          <w:color w:val="auto"/>
          <w:kern w:val="0"/>
          <w:sz w:val="32"/>
          <w:szCs w:val="32"/>
          <w:highlight w:val="none"/>
          <w:shd w:val="clear" w:color="auto" w:fill="FFFFFF"/>
          <w:lang w:val="en-US" w:eastAsia="zh-CN" w:bidi="en-US"/>
        </w:rPr>
        <w:t>22</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件，办复率100%；承办区政协委员提案1</w:t>
      </w:r>
      <w:r>
        <w:rPr>
          <w:rFonts w:hint="eastAsia" w:eastAsia="仿宋_GB2312" w:cs="Times New Roman"/>
          <w:b w:val="0"/>
          <w:bCs w:val="0"/>
          <w:color w:val="auto"/>
          <w:kern w:val="0"/>
          <w:sz w:val="32"/>
          <w:szCs w:val="32"/>
          <w:highlight w:val="none"/>
          <w:shd w:val="clear" w:color="auto" w:fill="FFFFFF"/>
          <w:lang w:val="en-US" w:eastAsia="zh-CN" w:bidi="en-US"/>
        </w:rPr>
        <w:t>7</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en-US"/>
        </w:rPr>
        <w:t>件，办复率100%。</w:t>
      </w:r>
    </w:p>
    <w:p w14:paraId="55D7725A">
      <w:pPr>
        <w:keepNext w:val="0"/>
        <w:keepLines w:val="0"/>
        <w:pageBreakBefore w:val="0"/>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shd w:val="clear" w:color="auto" w:fill="FFFFFF"/>
          <w:lang w:val="en-US" w:eastAsia="zh-CN" w:bidi="en-US"/>
        </w:rPr>
      </w:pPr>
      <w:r>
        <w:rPr>
          <w:rFonts w:hint="default" w:ascii="Times New Roman" w:hAnsi="Times New Roman" w:eastAsia="楷体_GB2312" w:cs="Times New Roman"/>
          <w:b/>
          <w:bCs/>
          <w:color w:val="auto"/>
          <w:kern w:val="0"/>
          <w:sz w:val="32"/>
          <w:szCs w:val="32"/>
          <w:highlight w:val="none"/>
          <w:shd w:val="clear" w:color="auto" w:fill="FFFFFF"/>
          <w:lang w:val="en-US" w:eastAsia="zh-CN" w:bidi="en-US"/>
        </w:rPr>
        <w:t>（四）其他需要报告事项</w:t>
      </w:r>
    </w:p>
    <w:p w14:paraId="36964E11">
      <w:pPr>
        <w:keepNext w:val="0"/>
        <w:keepLines w:val="0"/>
        <w:pageBreakBefore w:val="0"/>
        <w:widowControl/>
        <w:kinsoku/>
        <w:wordWrap w:val="0"/>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eastAsia="zh-CN"/>
        </w:rPr>
        <w:t>本报告所列数据的统计时限自202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年1月1日</w:t>
      </w:r>
      <w:r>
        <w:rPr>
          <w:rFonts w:hint="default" w:ascii="Times New Roman" w:hAnsi="Times New Roman" w:eastAsia="仿宋_GB2312" w:cs="Times New Roman"/>
          <w:color w:val="auto"/>
          <w:sz w:val="32"/>
          <w:szCs w:val="32"/>
          <w:highlight w:val="none"/>
          <w:shd w:val="clear" w:color="auto" w:fill="FFFFFF"/>
          <w:lang w:val="en-US" w:eastAsia="zh-CN"/>
        </w:rPr>
        <w:t>起</w:t>
      </w:r>
      <w:r>
        <w:rPr>
          <w:rFonts w:hint="default" w:ascii="Times New Roman" w:hAnsi="Times New Roman" w:eastAsia="仿宋_GB2312" w:cs="Times New Roman"/>
          <w:color w:val="auto"/>
          <w:sz w:val="32"/>
          <w:szCs w:val="32"/>
          <w:highlight w:val="none"/>
          <w:shd w:val="clear" w:color="auto" w:fill="FFFFFF"/>
          <w:lang w:eastAsia="zh-CN"/>
        </w:rPr>
        <w:t>至202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年12月31日</w:t>
      </w:r>
      <w:r>
        <w:rPr>
          <w:rFonts w:hint="default" w:ascii="Times New Roman" w:hAnsi="Times New Roman" w:eastAsia="仿宋_GB2312" w:cs="Times New Roman"/>
          <w:color w:val="auto"/>
          <w:sz w:val="32"/>
          <w:szCs w:val="32"/>
          <w:highlight w:val="none"/>
          <w:shd w:val="clear" w:color="auto" w:fill="FFFFFF"/>
          <w:lang w:val="en-US" w:eastAsia="zh-CN"/>
        </w:rPr>
        <w:t>止</w:t>
      </w:r>
      <w:r>
        <w:rPr>
          <w:rFonts w:hint="default" w:ascii="Times New Roman" w:hAnsi="Times New Roman" w:eastAsia="仿宋_GB2312" w:cs="Times New Roman"/>
          <w:color w:val="auto"/>
          <w:sz w:val="32"/>
          <w:szCs w:val="32"/>
          <w:highlight w:val="none"/>
          <w:shd w:val="clear" w:color="auto" w:fill="FFFFFF"/>
          <w:lang w:eastAsia="zh-CN"/>
        </w:rPr>
        <w:t>。如对本报告有疑问，可与</w:t>
      </w:r>
      <w:r>
        <w:rPr>
          <w:rFonts w:hint="default" w:ascii="Times New Roman" w:hAnsi="Times New Roman" w:eastAsia="仿宋_GB2312" w:cs="Times New Roman"/>
          <w:color w:val="auto"/>
          <w:sz w:val="32"/>
          <w:szCs w:val="32"/>
          <w:highlight w:val="none"/>
          <w:shd w:val="clear" w:color="auto" w:fill="FFFFFF"/>
          <w:lang w:val="en-US" w:eastAsia="zh-CN"/>
        </w:rPr>
        <w:t>市中区住房和城乡建设局</w:t>
      </w:r>
      <w:r>
        <w:rPr>
          <w:rFonts w:hint="default" w:ascii="Times New Roman" w:hAnsi="Times New Roman" w:eastAsia="仿宋_GB2312" w:cs="Times New Roman"/>
          <w:color w:val="auto"/>
          <w:sz w:val="32"/>
          <w:szCs w:val="32"/>
          <w:highlight w:val="none"/>
          <w:shd w:val="clear" w:color="auto" w:fill="FFFFFF"/>
          <w:lang w:eastAsia="zh-CN"/>
        </w:rPr>
        <w:t>联系（地址：</w:t>
      </w:r>
      <w:r>
        <w:rPr>
          <w:rFonts w:hint="default" w:ascii="Times New Roman" w:hAnsi="Times New Roman" w:eastAsia="仿宋_GB2312" w:cs="Times New Roman"/>
          <w:color w:val="auto"/>
          <w:sz w:val="32"/>
          <w:szCs w:val="32"/>
          <w:highlight w:val="none"/>
          <w:shd w:val="clear" w:color="auto" w:fill="FFFFFF"/>
          <w:lang w:val="en-US" w:eastAsia="zh-CN"/>
        </w:rPr>
        <w:t>枣庄市市中区振兴路23号</w:t>
      </w:r>
      <w:r>
        <w:rPr>
          <w:rFonts w:hint="default" w:ascii="Times New Roman" w:hAnsi="Times New Roman" w:eastAsia="仿宋_GB2312" w:cs="Times New Roman"/>
          <w:color w:val="auto"/>
          <w:sz w:val="32"/>
          <w:szCs w:val="32"/>
          <w:highlight w:val="none"/>
          <w:shd w:val="clear" w:color="auto" w:fill="FFFFFF"/>
          <w:lang w:eastAsia="zh-CN"/>
        </w:rPr>
        <w:t>，邮编：</w:t>
      </w:r>
      <w:r>
        <w:rPr>
          <w:rFonts w:hint="default" w:ascii="Times New Roman" w:hAnsi="Times New Roman" w:eastAsia="仿宋_GB2312" w:cs="Times New Roman"/>
          <w:color w:val="auto"/>
          <w:sz w:val="32"/>
          <w:szCs w:val="32"/>
          <w:highlight w:val="none"/>
          <w:shd w:val="clear" w:color="auto" w:fill="FFFFFF"/>
          <w:lang w:val="en-US" w:eastAsia="zh-CN"/>
        </w:rPr>
        <w:t>277100</w:t>
      </w:r>
      <w:r>
        <w:rPr>
          <w:rFonts w:hint="default" w:ascii="Times New Roman" w:hAnsi="Times New Roman" w:eastAsia="仿宋_GB2312" w:cs="Times New Roman"/>
          <w:color w:val="auto"/>
          <w:sz w:val="32"/>
          <w:szCs w:val="32"/>
          <w:highlight w:val="none"/>
          <w:shd w:val="clear" w:color="auto" w:fill="FFFFFF"/>
          <w:lang w:eastAsia="zh-CN"/>
        </w:rPr>
        <w:t>，电话：</w:t>
      </w:r>
      <w:r>
        <w:rPr>
          <w:rFonts w:hint="default" w:ascii="Times New Roman" w:hAnsi="Times New Roman" w:eastAsia="仿宋_GB2312" w:cs="Times New Roman"/>
          <w:color w:val="auto"/>
          <w:sz w:val="32"/>
          <w:szCs w:val="32"/>
          <w:highlight w:val="none"/>
          <w:shd w:val="clear" w:color="auto" w:fill="FFFFFF"/>
          <w:lang w:val="en-US" w:eastAsia="zh-CN"/>
        </w:rPr>
        <w:t>0632-3</w:t>
      </w:r>
      <w:r>
        <w:rPr>
          <w:rFonts w:hint="eastAsia" w:eastAsia="仿宋_GB2312" w:cs="Times New Roman"/>
          <w:color w:val="auto"/>
          <w:sz w:val="32"/>
          <w:szCs w:val="32"/>
          <w:highlight w:val="none"/>
          <w:shd w:val="clear" w:color="auto" w:fill="FFFFFF"/>
          <w:lang w:val="en-US" w:eastAsia="zh-CN"/>
        </w:rPr>
        <w:t>312315</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电子邮箱：szqzfhcxjsjadmin@zz.shandong.cn</w:t>
      </w:r>
      <w:r>
        <w:rPr>
          <w:rFonts w:hint="default" w:ascii="Times New Roman" w:hAnsi="Times New Roman" w:eastAsia="仿宋_GB2312" w:cs="Times New Roman"/>
          <w:color w:val="auto"/>
          <w:sz w:val="32"/>
          <w:szCs w:val="32"/>
          <w:highlight w:val="none"/>
          <w:shd w:val="clear" w:color="auto" w:fill="FFFFFF"/>
          <w:lang w:eastAsia="zh-CN"/>
        </w:rPr>
        <w:t>）</w:t>
      </w:r>
      <w:r>
        <w:rPr>
          <w:rFonts w:hint="eastAsia" w:eastAsia="仿宋_GB2312" w:cs="Times New Roman"/>
          <w:color w:val="auto"/>
          <w:sz w:val="32"/>
          <w:szCs w:val="32"/>
          <w:highlight w:val="none"/>
          <w:shd w:val="clear" w:color="auto" w:fill="FFFFFF"/>
          <w:lang w:eastAsia="zh-CN"/>
        </w:rPr>
        <w:t>。</w:t>
      </w:r>
    </w:p>
    <w:p w14:paraId="107945B4">
      <w:pPr>
        <w:keepNext w:val="0"/>
        <w:keepLines w:val="0"/>
        <w:pageBreakBefore w:val="0"/>
        <w:widowControl/>
        <w:kinsoku/>
        <w:wordWrap w:val="0"/>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highlight w:val="none"/>
          <w:shd w:val="clear" w:color="auto" w:fill="FFFFFF"/>
          <w:lang w:val="en-US" w:eastAsia="zh-CN"/>
        </w:rPr>
      </w:pPr>
    </w:p>
    <w:p w14:paraId="3CF10E8C">
      <w:pPr>
        <w:keepNext w:val="0"/>
        <w:keepLines w:val="0"/>
        <w:pageBreakBefore w:val="0"/>
        <w:widowControl/>
        <w:kinsoku/>
        <w:wordWrap w:val="0"/>
        <w:overflowPunct/>
        <w:topLinePunct w:val="0"/>
        <w:autoSpaceDE/>
        <w:autoSpaceDN/>
        <w:bidi w:val="0"/>
        <w:adjustRightInd w:val="0"/>
        <w:snapToGrid w:val="0"/>
        <w:spacing w:line="560" w:lineRule="exact"/>
        <w:contextualSpacing/>
        <w:jc w:val="right"/>
        <w:textAlignment w:val="auto"/>
        <w:rPr>
          <w:rFonts w:hint="default" w:ascii="Times New Roman" w:hAnsi="Times New Roman" w:eastAsia="仿宋_GB2312" w:cs="Times New Roman"/>
          <w:b w:val="0"/>
          <w:bCs w:val="0"/>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市中区住房和城乡建设局</w:t>
      </w:r>
    </w:p>
    <w:p w14:paraId="1E6FC3EF">
      <w:pPr>
        <w:keepNext w:val="0"/>
        <w:keepLines w:val="0"/>
        <w:pageBreakBefore w:val="0"/>
        <w:widowControl/>
        <w:kinsoku/>
        <w:wordWrap w:val="0"/>
        <w:overflowPunct/>
        <w:topLinePunct w:val="0"/>
        <w:autoSpaceDE/>
        <w:autoSpaceDN/>
        <w:bidi w:val="0"/>
        <w:adjustRightInd w:val="0"/>
        <w:snapToGrid w:val="0"/>
        <w:spacing w:line="560" w:lineRule="exact"/>
        <w:contextualSpacing/>
        <w:jc w:val="right"/>
        <w:textAlignment w:val="auto"/>
        <w:rPr>
          <w:rFonts w:hint="eastAsia" w:eastAsiaTheme="minorEastAsia"/>
          <w:color w:val="auto"/>
          <w:highlight w:val="none"/>
          <w:lang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202</w:t>
      </w:r>
      <w:r>
        <w:rPr>
          <w:rFonts w:hint="eastAsia" w:eastAsia="仿宋_GB2312" w:cs="Times New Roman"/>
          <w:b w:val="0"/>
          <w:bCs w:val="0"/>
          <w:color w:val="auto"/>
          <w:sz w:val="32"/>
          <w:szCs w:val="32"/>
          <w:highlight w:val="none"/>
          <w:shd w:val="clear" w:color="auto" w:fill="FFFFFF"/>
          <w:lang w:val="en-US" w:eastAsia="zh-CN"/>
        </w:rPr>
        <w:t>6</w:t>
      </w:r>
      <w:r>
        <w:rPr>
          <w:rFonts w:hint="default" w:ascii="Times New Roman" w:hAnsi="Times New Roman" w:eastAsia="仿宋_GB2312" w:cs="Times New Roman"/>
          <w:b w:val="0"/>
          <w:bCs w:val="0"/>
          <w:color w:val="auto"/>
          <w:sz w:val="32"/>
          <w:szCs w:val="32"/>
          <w:highlight w:val="none"/>
          <w:shd w:val="clear" w:color="auto" w:fill="FFFFFF"/>
          <w:lang w:val="en-US" w:eastAsia="zh-CN"/>
        </w:rPr>
        <w:t>年1月1</w:t>
      </w:r>
      <w:r>
        <w:rPr>
          <w:rFonts w:hint="eastAsia" w:eastAsia="仿宋_GB2312" w:cs="Times New Roman"/>
          <w:b w:val="0"/>
          <w:bCs w:val="0"/>
          <w:color w:val="auto"/>
          <w:sz w:val="32"/>
          <w:szCs w:val="32"/>
          <w:highlight w:val="none"/>
          <w:shd w:val="clear" w:color="auto" w:fill="FFFFFF"/>
          <w:lang w:val="en-US" w:eastAsia="zh-CN"/>
        </w:rPr>
        <w:t>5</w:t>
      </w:r>
      <w:r>
        <w:rPr>
          <w:rFonts w:hint="default" w:ascii="Times New Roman" w:hAnsi="Times New Roman" w:eastAsia="仿宋_GB2312" w:cs="Times New Roman"/>
          <w:b w:val="0"/>
          <w:bCs w:val="0"/>
          <w:color w:val="auto"/>
          <w:sz w:val="32"/>
          <w:szCs w:val="32"/>
          <w:highlight w:val="none"/>
          <w:shd w:val="clear" w:color="auto" w:fill="FFFFFF"/>
          <w:lang w:val="en-US" w:eastAsia="zh-CN"/>
        </w:rPr>
        <w:t>日</w:t>
      </w:r>
    </w:p>
    <w:sectPr>
      <w:headerReference r:id="rId3" w:type="default"/>
      <w:footerReference r:id="rId4" w:type="default"/>
      <w:pgSz w:w="11906" w:h="16838"/>
      <w:pgMar w:top="1587"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4076E3-DB3B-4EBD-8A68-D3F66EDBC2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2AD1367-DA52-4196-969C-851C23B4EF31}"/>
  </w:font>
  <w:font w:name="仿宋_GB2312">
    <w:panose1 w:val="02010609030101010101"/>
    <w:charset w:val="86"/>
    <w:family w:val="modern"/>
    <w:pitch w:val="default"/>
    <w:sig w:usb0="00000001" w:usb1="080E0000" w:usb2="00000000" w:usb3="00000000" w:csb0="00040000" w:csb1="00000000"/>
    <w:embedRegular r:id="rId3" w:fontKey="{16264991-25BB-4622-AEAB-1475C13FBC0E}"/>
  </w:font>
  <w:font w:name="楷体_GB2312">
    <w:altName w:val="楷体"/>
    <w:panose1 w:val="02010609030101010101"/>
    <w:charset w:val="86"/>
    <w:family w:val="decorative"/>
    <w:pitch w:val="default"/>
    <w:sig w:usb0="00000000" w:usb1="00000000" w:usb2="00000000" w:usb3="00000000" w:csb0="00040000" w:csb1="00000000"/>
    <w:embedRegular r:id="rId4" w:fontKey="{99067B3E-4358-4ACD-A432-F7C7328C0168}"/>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EC8B5">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7D6E7">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C7D6E7">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FD55">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2AD361F"/>
    <w:rsid w:val="06345D7F"/>
    <w:rsid w:val="07372051"/>
    <w:rsid w:val="076F17EB"/>
    <w:rsid w:val="0A3E1141"/>
    <w:rsid w:val="0B8F2AB2"/>
    <w:rsid w:val="0D426B65"/>
    <w:rsid w:val="0DB7343A"/>
    <w:rsid w:val="101A475B"/>
    <w:rsid w:val="18F647C0"/>
    <w:rsid w:val="1AAF71B2"/>
    <w:rsid w:val="1C0E2F29"/>
    <w:rsid w:val="1C6B60F6"/>
    <w:rsid w:val="1D276D79"/>
    <w:rsid w:val="1DC53412"/>
    <w:rsid w:val="1FD24907"/>
    <w:rsid w:val="2007106B"/>
    <w:rsid w:val="205B4263"/>
    <w:rsid w:val="21B21CA8"/>
    <w:rsid w:val="227F4F5F"/>
    <w:rsid w:val="23B516EB"/>
    <w:rsid w:val="23BD6FE3"/>
    <w:rsid w:val="24A26904"/>
    <w:rsid w:val="24B65C7B"/>
    <w:rsid w:val="271F6DB2"/>
    <w:rsid w:val="27B8643F"/>
    <w:rsid w:val="28312B7C"/>
    <w:rsid w:val="28BE4FD8"/>
    <w:rsid w:val="29B02542"/>
    <w:rsid w:val="29B129A6"/>
    <w:rsid w:val="2A191A8D"/>
    <w:rsid w:val="2A366FA5"/>
    <w:rsid w:val="2A6E4A40"/>
    <w:rsid w:val="2B247393"/>
    <w:rsid w:val="2B6D12EE"/>
    <w:rsid w:val="2B7E7F7A"/>
    <w:rsid w:val="2BD650E5"/>
    <w:rsid w:val="2D9E1C33"/>
    <w:rsid w:val="2DA46182"/>
    <w:rsid w:val="2F210D6D"/>
    <w:rsid w:val="301343BA"/>
    <w:rsid w:val="30597B2F"/>
    <w:rsid w:val="32EC51EE"/>
    <w:rsid w:val="34C27E73"/>
    <w:rsid w:val="34CA155F"/>
    <w:rsid w:val="35E93C67"/>
    <w:rsid w:val="372B44B7"/>
    <w:rsid w:val="37321D6A"/>
    <w:rsid w:val="37DD4F2A"/>
    <w:rsid w:val="382F44FB"/>
    <w:rsid w:val="389205E6"/>
    <w:rsid w:val="3AE710BD"/>
    <w:rsid w:val="3B0B6B11"/>
    <w:rsid w:val="3CA63654"/>
    <w:rsid w:val="3DD671C7"/>
    <w:rsid w:val="424E6C95"/>
    <w:rsid w:val="42962A0C"/>
    <w:rsid w:val="42DF11DB"/>
    <w:rsid w:val="43065E58"/>
    <w:rsid w:val="43677CBB"/>
    <w:rsid w:val="44871A95"/>
    <w:rsid w:val="44E54CEA"/>
    <w:rsid w:val="45690320"/>
    <w:rsid w:val="4A0B1FA6"/>
    <w:rsid w:val="4A263FB9"/>
    <w:rsid w:val="4B2E6B50"/>
    <w:rsid w:val="4BE16E0F"/>
    <w:rsid w:val="4BF865A6"/>
    <w:rsid w:val="4F1B009D"/>
    <w:rsid w:val="4F3B034C"/>
    <w:rsid w:val="506F7733"/>
    <w:rsid w:val="54260108"/>
    <w:rsid w:val="547307D3"/>
    <w:rsid w:val="572442E9"/>
    <w:rsid w:val="57FA3D86"/>
    <w:rsid w:val="5A891C07"/>
    <w:rsid w:val="5AE6494C"/>
    <w:rsid w:val="5EA95810"/>
    <w:rsid w:val="5FE13A7D"/>
    <w:rsid w:val="6015631C"/>
    <w:rsid w:val="608F04B8"/>
    <w:rsid w:val="62A02DE5"/>
    <w:rsid w:val="62DF0CAC"/>
    <w:rsid w:val="63815B89"/>
    <w:rsid w:val="64490C92"/>
    <w:rsid w:val="646B1B68"/>
    <w:rsid w:val="66AF6616"/>
    <w:rsid w:val="6763255C"/>
    <w:rsid w:val="688B4586"/>
    <w:rsid w:val="68D0643D"/>
    <w:rsid w:val="6A895CE7"/>
    <w:rsid w:val="6E217E67"/>
    <w:rsid w:val="6EC52406"/>
    <w:rsid w:val="6F2A58F2"/>
    <w:rsid w:val="71125845"/>
    <w:rsid w:val="71742F46"/>
    <w:rsid w:val="72BB477E"/>
    <w:rsid w:val="743334DA"/>
    <w:rsid w:val="746C5BB4"/>
    <w:rsid w:val="754C48A1"/>
    <w:rsid w:val="77D03152"/>
    <w:rsid w:val="79390A27"/>
    <w:rsid w:val="79A96F62"/>
    <w:rsid w:val="7B7F61CD"/>
    <w:rsid w:val="7BA56F07"/>
    <w:rsid w:val="7BDF9989"/>
    <w:rsid w:val="7C1A63E7"/>
    <w:rsid w:val="7D726BF8"/>
    <w:rsid w:val="7EFFE66B"/>
    <w:rsid w:val="7F2B4A49"/>
    <w:rsid w:val="7F2D68BD"/>
    <w:rsid w:val="7F876E49"/>
    <w:rsid w:val="FB7FA82B"/>
    <w:rsid w:val="FC77B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4a0a466d-2dad-4038-b7d0-b157e01fa968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27D944E7</paraID>
      <start>18</start>
      <end>21</end>
      <status>unmodified</status>
      <modifiedWord/>
      <trackRevisions>false</trackRevisions>
    </reviewItem>
    <reviewItem>
      <errorID>c4a9a248-6ec3-4dbc-9406-c2d53d13e5de</errorID>
      <errorWord>《</errorWord>
      <group>L1_Punc</group>
      <groupName>标点问题</groupName>
      <ability>L2_Punc</ability>
      <abilityName>标点符号检查</abilityName>
      <candidateList/>
      <explain>同一形式括号套用。</explain>
      <paraID>27D944E7</paraID>
      <start>43</start>
      <end>44</end>
      <status>unmodified</status>
      <modifiedWord/>
      <trackRevisions>false</trackRevisions>
    </reviewItem>
    <reviewItem>
      <errorID>8113debd-9af0-46eb-9f5e-ec73ab8b7580</errorID>
      <errorWord>》</errorWord>
      <group>L1_Punc</group>
      <groupName>标点问题</groupName>
      <ability>L2_Punc</ability>
      <abilityName>标点符号检查</abilityName>
      <candidateList/>
      <explain>同一形式括号套用。</explain>
      <paraID>27D944E7</paraID>
      <start>65</start>
      <end>66</end>
      <status>unmodified</status>
      <modifiedWord/>
      <trackRevisions>false</trackRevisions>
    </reviewItem>
    <reviewItem>
      <errorID>66c21212-34d0-4752-8e92-6f13b030cae8</errorID>
      <errorWord>处理</errorWord>
      <group>L1_Word</group>
      <groupName>字词问题</groupName>
      <ability>L2_Typo</ability>
      <abilityName>字词错误</abilityName>
      <candidateList>
        <item>受理</item>
      </candidateList>
      <explain/>
      <paraID>34E5FC3B</paraID>
      <start>22</start>
      <end>24</end>
      <status>unmodified</status>
      <modifiedWord/>
      <trackRevisions>false</trackRevisions>
    </reviewItem>
    <reviewItem>
      <errorID>68356b10-5d51-4deb-9d52-329e11c86e24</errorID>
      <errorWord>处理</errorWord>
      <group>L1_Word</group>
      <groupName>字词问题</groupName>
      <ability>L2_Typo</ability>
      <abilityName>字词错误</abilityName>
      <candidateList>
        <item>受理</item>
      </candidateList>
      <explain/>
      <paraID> 1D2FBA7</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2362f-ecad-4bfb-a734-39fb37608e92}">
  <ds:schemaRefs/>
</ds:datastoreItem>
</file>

<file path=docProps/app.xml><?xml version="1.0" encoding="utf-8"?>
<Properties xmlns="http://schemas.openxmlformats.org/officeDocument/2006/extended-properties" xmlns:vt="http://schemas.openxmlformats.org/officeDocument/2006/docPropsVTypes">
  <Template>Normal</Template>
  <Pages>6</Pages>
  <Words>2486</Words>
  <Characters>2699</Characters>
  <Lines>53</Lines>
  <Paragraphs>15</Paragraphs>
  <TotalTime>17</TotalTime>
  <ScaleCrop>false</ScaleCrop>
  <LinksUpToDate>false</LinksUpToDate>
  <CharactersWithSpaces>2711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2021-11-03T17:59:00Z</dcterms:created>
  <dc:creator>p</dc:creator>
  <cp:lastModifiedBy>WPS_1696590446</cp:lastModifiedBy>
  <cp:lastPrinted>2025-01-09T21:50:00Z</cp:lastPrinted>
  <dcterms:modified xsi:type="dcterms:W3CDTF">2026-01-23T01:15:22Z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553F8BC586F48F777F246F6948598D99</vt:lpwstr>
  </property>
</Properties>
</file>