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692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ascii="Times New Roman" w:hAnsi="Times New Roman" w:eastAsia="方正小标宋简体" w:cs="Times New Roman"/>
          <w:b/>
          <w:bCs/>
          <w:color w:val="auto"/>
          <w:sz w:val="44"/>
          <w:szCs w:val="44"/>
          <w:lang w:val="en-US" w:eastAsia="zh-CN"/>
        </w:rPr>
        <w:t>城乡水务局</w:t>
      </w:r>
    </w:p>
    <w:p w14:paraId="0468E8C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2BBFB5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27B463A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eastAsia="仿宋_GB2312"/>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w:t>
      </w:r>
      <w:r>
        <w:rPr>
          <w:rFonts w:eastAsia="仿宋_GB2312"/>
          <w:color w:val="auto"/>
          <w:sz w:val="32"/>
          <w:szCs w:val="32"/>
          <w:shd w:val="clear" w:color="auto" w:fill="FFFFFF"/>
          <w:lang w:eastAsia="zh-CN"/>
        </w:rPr>
        <w:t>可与</w:t>
      </w:r>
      <w:r>
        <w:rPr>
          <w:rFonts w:hint="eastAsia" w:eastAsia="仿宋_GB2312"/>
          <w:color w:val="auto"/>
          <w:sz w:val="32"/>
          <w:szCs w:val="32"/>
          <w:shd w:val="clear" w:color="auto" w:fill="FFFFFF"/>
          <w:lang w:val="en-US" w:eastAsia="zh-CN"/>
        </w:rPr>
        <w:t>区城乡水务局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枣庄市市中区龙庭路43号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0632-3822399</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电子邮箱：szqswjadmin@zz.shandong.cn</w:t>
      </w:r>
      <w:r>
        <w:rPr>
          <w:rFonts w:hint="eastAsia" w:eastAsia="仿宋_GB2312" w:cs="Times New Roman"/>
          <w:i w:val="0"/>
          <w:caps w:val="0"/>
          <w:color w:val="auto"/>
          <w:spacing w:val="0"/>
          <w:kern w:val="0"/>
          <w:sz w:val="32"/>
          <w:szCs w:val="32"/>
          <w:shd w:val="clear" w:color="auto" w:fill="FFFFFF"/>
          <w:lang w:val="en-US" w:eastAsia="zh-CN" w:bidi="ar"/>
        </w:rPr>
        <w:t xml:space="preserve">） </w:t>
      </w:r>
      <w:r>
        <w:rPr>
          <w:rFonts w:eastAsia="仿宋_GB2312"/>
          <w:color w:val="auto"/>
          <w:sz w:val="32"/>
          <w:szCs w:val="32"/>
          <w:shd w:val="clear" w:color="auto" w:fill="FFFFFF"/>
          <w:lang w:eastAsia="zh-CN"/>
        </w:rPr>
        <w:t>。</w:t>
      </w:r>
    </w:p>
    <w:p w14:paraId="2712EA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330B5DC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color w:val="auto"/>
          <w:sz w:val="32"/>
          <w:szCs w:val="32"/>
          <w:shd w:val="clear" w:color="auto" w:fill="FFFFFF"/>
          <w:lang w:val="en-US" w:eastAsia="zh-CN"/>
        </w:rPr>
        <w:t>2025年，</w:t>
      </w:r>
      <w:r>
        <w:rPr>
          <w:rFonts w:hint="eastAsia" w:ascii="Times New Roman" w:hAnsi="Times New Roman" w:eastAsia="仿宋_GB2312" w:cs="Times New Roman"/>
          <w:color w:val="auto"/>
          <w:sz w:val="32"/>
          <w:szCs w:val="32"/>
          <w:shd w:val="clear" w:color="auto" w:fill="FFFFFF"/>
          <w:lang w:val="en-US" w:eastAsia="zh-CN"/>
        </w:rPr>
        <w:t>区城乡水务</w:t>
      </w:r>
      <w:r>
        <w:rPr>
          <w:rFonts w:hint="default" w:ascii="Times New Roman" w:hAnsi="Times New Roman" w:eastAsia="仿宋_GB2312" w:cs="Times New Roman"/>
          <w:color w:val="auto"/>
          <w:sz w:val="32"/>
          <w:szCs w:val="32"/>
          <w:shd w:val="clear" w:color="auto" w:fill="FFFFFF"/>
          <w:lang w:val="en-US" w:eastAsia="zh-CN"/>
        </w:rPr>
        <w:t>局</w:t>
      </w:r>
      <w:r>
        <w:rPr>
          <w:rFonts w:hint="eastAsia" w:ascii="Times New Roman" w:hAnsi="Times New Roman" w:eastAsia="仿宋_GB2312" w:cs="Times New Roman"/>
          <w:color w:val="auto"/>
          <w:sz w:val="32"/>
          <w:szCs w:val="32"/>
          <w:shd w:val="clear" w:color="auto" w:fill="FFFFFF"/>
          <w:lang w:val="en-US" w:eastAsia="zh-CN"/>
        </w:rPr>
        <w:t>坚持以</w:t>
      </w:r>
      <w:r>
        <w:rPr>
          <w:rFonts w:hint="default" w:ascii="Times New Roman" w:hAnsi="Times New Roman" w:eastAsia="仿宋_GB2312" w:cs="Times New Roman"/>
          <w:color w:val="auto"/>
          <w:sz w:val="32"/>
          <w:szCs w:val="32"/>
          <w:shd w:val="clear" w:color="auto" w:fill="FFFFFF"/>
          <w:lang w:val="en-US" w:eastAsia="zh-CN"/>
        </w:rPr>
        <w:t>《中华人民共和国政府信息公开条例》为根本遵循，深入贯彻落实国家关于政府信息公开工作的各项决策部署</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着力健全完善信息公开工作体系，强化信息公开载体建设，持续深化公开内容，着力提升政府信息公开工作的标准化、规范化、便利化水平，切实保障公众的知情权、参与权、表达权和监督权，以公开促落实、促规范、促服务</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在扩大公众知情权、满足公众信息需求方面取得了积极成效。</w:t>
      </w:r>
    </w:p>
    <w:p w14:paraId="052F809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3FE0691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2025年，我局通过单位门户网站等渠道，主动公开各类政府信息</w:t>
      </w:r>
      <w:r>
        <w:rPr>
          <w:rFonts w:hint="eastAsia" w:ascii="Times New Roman" w:hAnsi="Times New Roman" w:eastAsia="仿宋_GB2312" w:cs="Times New Roman"/>
          <w:color w:val="auto"/>
          <w:sz w:val="32"/>
          <w:szCs w:val="32"/>
          <w:shd w:val="clear" w:color="auto" w:fill="FFFFFF"/>
          <w:lang w:val="en-US" w:eastAsia="zh-CN"/>
        </w:rPr>
        <w:t>25</w:t>
      </w:r>
      <w:r>
        <w:rPr>
          <w:rFonts w:hint="default" w:ascii="Times New Roman" w:hAnsi="Times New Roman" w:eastAsia="仿宋_GB2312" w:cs="Times New Roman"/>
          <w:color w:val="auto"/>
          <w:sz w:val="32"/>
          <w:szCs w:val="32"/>
          <w:shd w:val="clear" w:color="auto" w:fill="FFFFFF"/>
          <w:lang w:val="en-US" w:eastAsia="zh-CN"/>
        </w:rPr>
        <w:t>条，</w:t>
      </w:r>
      <w:r>
        <w:rPr>
          <w:rFonts w:hint="eastAsia" w:ascii="Times New Roman" w:hAnsi="Times New Roman" w:eastAsia="仿宋_GB2312" w:cs="Times New Roman"/>
          <w:color w:val="auto"/>
          <w:sz w:val="32"/>
          <w:szCs w:val="32"/>
          <w:shd w:val="clear" w:color="auto" w:fill="FFFFFF"/>
          <w:lang w:val="en-US" w:eastAsia="zh-CN"/>
        </w:rPr>
        <w:t>重点围绕水务</w:t>
      </w:r>
      <w:r>
        <w:rPr>
          <w:rFonts w:hint="default" w:ascii="Times New Roman" w:hAnsi="Times New Roman" w:eastAsia="仿宋_GB2312" w:cs="Times New Roman"/>
          <w:color w:val="auto"/>
          <w:sz w:val="32"/>
          <w:szCs w:val="32"/>
          <w:shd w:val="clear" w:color="auto" w:fill="FFFFFF"/>
          <w:lang w:val="en-US" w:eastAsia="zh-CN"/>
        </w:rPr>
        <w:t>等重点工作和热点问题</w:t>
      </w:r>
      <w:r>
        <w:rPr>
          <w:rFonts w:hint="eastAsia" w:ascii="Times New Roman" w:hAnsi="Times New Roman" w:eastAsia="仿宋_GB2312" w:cs="Times New Roman"/>
          <w:color w:val="auto"/>
          <w:sz w:val="32"/>
          <w:szCs w:val="32"/>
          <w:shd w:val="clear" w:color="auto" w:fill="FFFFFF"/>
          <w:lang w:val="en-US" w:eastAsia="zh-CN"/>
        </w:rPr>
        <w:t>。</w:t>
      </w:r>
    </w:p>
    <w:p w14:paraId="76375FE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767713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w:t>
      </w:r>
      <w:r>
        <w:rPr>
          <w:rFonts w:hint="eastAsia"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依法保障民众的知情权、参与权、表达权、监督权。202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w:t>
      </w:r>
    </w:p>
    <w:p w14:paraId="249754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1BAE770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43C33C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1E2FF3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一是完善信息公开管理流程。建立政府信息公开工作全流程管理机制，安排专人负责信息公开传送。</w:t>
      </w:r>
    </w:p>
    <w:p w14:paraId="7023408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B8EC4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三是不断完善公开制度机制。202</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6668E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zh-TW"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val="zh-TW" w:eastAsia="zh-CN"/>
        </w:rPr>
        <w:t>平台建设</w:t>
      </w:r>
    </w:p>
    <w:p w14:paraId="46EC36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依托“</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枣庄市市中区人民政府</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网站”“</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政府信息公开专栏</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”等平台发布信息，推动政务公开信息向不同群体精准推送，提升群众获取政府信息的便利度和幸福感。　　</w:t>
      </w:r>
    </w:p>
    <w:p w14:paraId="0EE4C5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w:t>
      </w:r>
      <w:r>
        <w:rPr>
          <w:rFonts w:hint="default" w:ascii="Times New Roman" w:hAnsi="Times New Roman" w:eastAsia="黑体" w:cs="Times New Roman"/>
          <w:bCs/>
          <w:color w:val="auto"/>
          <w:sz w:val="32"/>
          <w:szCs w:val="32"/>
          <w:lang w:val="zh-TW" w:eastAsia="zh-CN"/>
        </w:rPr>
        <w:t>监督保障</w:t>
      </w:r>
    </w:p>
    <w:p w14:paraId="52065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一是实行三级审核制。先经供稿科室审查后上报分管局领导，分管局领导同意后送办公室，办公室再进行最终审查把关。重要信息由局主要领导把关，确保政务信息公开工作严格遵守保密条例。</w:t>
      </w:r>
    </w:p>
    <w:p w14:paraId="17C8E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二是成立政府信息公开工作领导小组。落实由主要领导为组长、分管领导为副组长的政府信息公开工作领导小组工作制度，指定专人从事政府信息公开的日常工作，形成一级抓一级、层层抓落实的工作格局。</w:t>
      </w:r>
    </w:p>
    <w:p w14:paraId="6351F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三是加强人员管理培训。组织相关工作人员参加培训，重点学习《中华人民共和国政府信息公开条例》等有关政务公开的法律、法规和政策，使其充分认识到政务公开的重要性和紧迫性。</w:t>
      </w:r>
    </w:p>
    <w:p w14:paraId="16085A25">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44B25DE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93CAD8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1870860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F748A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BC12E1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30FEB9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1A25EF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427824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EF7AE5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825B2E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610F7D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8060A2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28C4B0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100F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F496C9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77A563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60EB70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0066D7D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84423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1C5A840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17D7A3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366E3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3458919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CBB5D5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B51E8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2BC0F46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5A51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16D5484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19D15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34404C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9AC841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4418C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39C1E4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1CECB6">
        <w:tblPrEx>
          <w:tblCellMar>
            <w:top w:w="0" w:type="dxa"/>
            <w:left w:w="108" w:type="dxa"/>
            <w:bottom w:w="0" w:type="dxa"/>
            <w:right w:w="108" w:type="dxa"/>
          </w:tblCellMar>
        </w:tblPrEx>
        <w:trPr>
          <w:trHeight w:val="90"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132621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C68264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1D25B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28042D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2DDFE5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79EBF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4D030E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0B78486">
        <w:tblPrEx>
          <w:tblCellMar>
            <w:top w:w="0" w:type="dxa"/>
            <w:left w:w="108" w:type="dxa"/>
            <w:bottom w:w="0" w:type="dxa"/>
            <w:right w:w="108" w:type="dxa"/>
          </w:tblCellMar>
        </w:tblPrEx>
        <w:trPr>
          <w:trHeight w:val="80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E1596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93AEAF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8355.6623</w:t>
            </w:r>
          </w:p>
        </w:tc>
      </w:tr>
    </w:tbl>
    <w:p w14:paraId="255F74B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bookmarkStart w:id="9" w:name="_GoBack"/>
      <w:bookmarkEnd w:id="9"/>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4A5D2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4023A9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0F278D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53892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306890C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restart"/>
            <w:shd w:val="clear" w:color="auto" w:fill="auto"/>
            <w:tcMar>
              <w:left w:w="108" w:type="dxa"/>
              <w:right w:w="108" w:type="dxa"/>
            </w:tcMar>
            <w:vAlign w:val="center"/>
          </w:tcPr>
          <w:p w14:paraId="386F5A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4" w:type="dxa"/>
            <w:gridSpan w:val="5"/>
            <w:shd w:val="clear" w:color="auto" w:fill="auto"/>
            <w:tcMar>
              <w:left w:w="108" w:type="dxa"/>
              <w:right w:w="108" w:type="dxa"/>
            </w:tcMar>
            <w:vAlign w:val="center"/>
          </w:tcPr>
          <w:p w14:paraId="36D96F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86" w:type="dxa"/>
            <w:vMerge w:val="restart"/>
            <w:shd w:val="clear" w:color="auto" w:fill="auto"/>
            <w:tcMar>
              <w:left w:w="108" w:type="dxa"/>
              <w:right w:w="108" w:type="dxa"/>
            </w:tcMar>
            <w:vAlign w:val="center"/>
          </w:tcPr>
          <w:p w14:paraId="634E9F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4A2F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2F8121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continue"/>
            <w:shd w:val="clear" w:color="auto" w:fill="auto"/>
            <w:tcMar>
              <w:left w:w="108" w:type="dxa"/>
              <w:right w:w="108" w:type="dxa"/>
            </w:tcMar>
            <w:vAlign w:val="center"/>
          </w:tcPr>
          <w:p w14:paraId="49AA245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9" w:type="dxa"/>
            <w:shd w:val="clear" w:color="auto" w:fill="auto"/>
            <w:tcMar>
              <w:left w:w="108" w:type="dxa"/>
              <w:right w:w="108" w:type="dxa"/>
            </w:tcMar>
            <w:vAlign w:val="center"/>
          </w:tcPr>
          <w:p w14:paraId="2C92F1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9" w:type="dxa"/>
            <w:shd w:val="clear" w:color="auto" w:fill="auto"/>
            <w:tcMar>
              <w:left w:w="108" w:type="dxa"/>
              <w:right w:w="108" w:type="dxa"/>
            </w:tcMar>
            <w:vAlign w:val="center"/>
          </w:tcPr>
          <w:p w14:paraId="217C79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77" w:type="dxa"/>
            <w:shd w:val="clear" w:color="auto" w:fill="auto"/>
            <w:tcMar>
              <w:left w:w="108" w:type="dxa"/>
              <w:right w:w="108" w:type="dxa"/>
            </w:tcMar>
            <w:vAlign w:val="center"/>
          </w:tcPr>
          <w:p w14:paraId="32D962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01" w:type="dxa"/>
            <w:shd w:val="clear" w:color="auto" w:fill="auto"/>
            <w:tcMar>
              <w:left w:w="108" w:type="dxa"/>
              <w:right w:w="108" w:type="dxa"/>
            </w:tcMar>
            <w:vAlign w:val="center"/>
          </w:tcPr>
          <w:p w14:paraId="0302AF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4" w:type="dxa"/>
            <w:shd w:val="clear" w:color="auto" w:fill="auto"/>
            <w:tcMar>
              <w:left w:w="108" w:type="dxa"/>
              <w:right w:w="108" w:type="dxa"/>
            </w:tcMar>
            <w:vAlign w:val="center"/>
          </w:tcPr>
          <w:p w14:paraId="37F9EE9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86" w:type="dxa"/>
            <w:vMerge w:val="continue"/>
            <w:shd w:val="clear" w:color="auto" w:fill="auto"/>
            <w:tcMar>
              <w:left w:w="108" w:type="dxa"/>
              <w:right w:w="108" w:type="dxa"/>
            </w:tcMar>
            <w:vAlign w:val="center"/>
          </w:tcPr>
          <w:p w14:paraId="389FA60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E2B1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25F79B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543" w:type="dxa"/>
            <w:shd w:val="clear" w:color="auto" w:fill="auto"/>
            <w:tcMar>
              <w:left w:w="108" w:type="dxa"/>
              <w:right w:w="108" w:type="dxa"/>
            </w:tcMar>
            <w:vAlign w:val="center"/>
          </w:tcPr>
          <w:p w14:paraId="28369D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C088DD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A8F1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808D1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774FF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2EE54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77F1B5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9666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12834B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543" w:type="dxa"/>
            <w:shd w:val="clear" w:color="auto" w:fill="auto"/>
            <w:tcMar>
              <w:left w:w="108" w:type="dxa"/>
              <w:right w:w="108" w:type="dxa"/>
            </w:tcMar>
            <w:vAlign w:val="center"/>
          </w:tcPr>
          <w:p w14:paraId="7AA0C2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F93DC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EE8A8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E07E5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500E7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A4B4B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40868A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05F5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692F1D0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355" w:type="dxa"/>
            <w:gridSpan w:val="2"/>
            <w:shd w:val="clear" w:color="auto" w:fill="auto"/>
            <w:tcMar>
              <w:left w:w="108" w:type="dxa"/>
              <w:right w:w="108" w:type="dxa"/>
            </w:tcMar>
            <w:vAlign w:val="center"/>
          </w:tcPr>
          <w:p w14:paraId="4D0A72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543" w:type="dxa"/>
            <w:shd w:val="clear" w:color="auto" w:fill="auto"/>
            <w:tcMar>
              <w:left w:w="108" w:type="dxa"/>
              <w:right w:w="108" w:type="dxa"/>
            </w:tcMar>
            <w:vAlign w:val="center"/>
          </w:tcPr>
          <w:p w14:paraId="5ABE65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4847E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2D424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4E76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521E9C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37D7E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B65CD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6DB7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BE96C6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gridSpan w:val="2"/>
            <w:shd w:val="clear" w:color="auto" w:fill="auto"/>
            <w:tcMar>
              <w:left w:w="108" w:type="dxa"/>
              <w:right w:w="108" w:type="dxa"/>
            </w:tcMar>
            <w:vAlign w:val="center"/>
          </w:tcPr>
          <w:p w14:paraId="01405A1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543" w:type="dxa"/>
            <w:shd w:val="clear" w:color="auto" w:fill="auto"/>
            <w:tcMar>
              <w:left w:w="108" w:type="dxa"/>
              <w:right w:w="108" w:type="dxa"/>
            </w:tcMar>
            <w:vAlign w:val="center"/>
          </w:tcPr>
          <w:p w14:paraId="15220A8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4F4E3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932388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53DEE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D68A6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83C58D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5E539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50D6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2AF72D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4CAB56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355" w:type="dxa"/>
            <w:shd w:val="clear" w:color="auto" w:fill="auto"/>
            <w:tcMar>
              <w:left w:w="108" w:type="dxa"/>
              <w:right w:w="108" w:type="dxa"/>
            </w:tcMar>
            <w:vAlign w:val="center"/>
          </w:tcPr>
          <w:p w14:paraId="670B3E9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543" w:type="dxa"/>
            <w:shd w:val="clear" w:color="auto" w:fill="auto"/>
            <w:tcMar>
              <w:left w:w="108" w:type="dxa"/>
              <w:right w:w="108" w:type="dxa"/>
            </w:tcMar>
            <w:vAlign w:val="center"/>
          </w:tcPr>
          <w:p w14:paraId="457754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FAEB88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7249F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8A68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B85FDF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1BD2A1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771E2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00E1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ADCBF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6895CF9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322CC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543" w:type="dxa"/>
            <w:shd w:val="clear" w:color="auto" w:fill="auto"/>
            <w:tcMar>
              <w:left w:w="108" w:type="dxa"/>
              <w:right w:w="108" w:type="dxa"/>
            </w:tcMar>
            <w:vAlign w:val="center"/>
          </w:tcPr>
          <w:p w14:paraId="7CDC2B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5F541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C654F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CB1878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A1D49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BAA092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6FE4F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9401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C6900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5092B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7296C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543" w:type="dxa"/>
            <w:shd w:val="clear" w:color="auto" w:fill="auto"/>
            <w:tcMar>
              <w:left w:w="108" w:type="dxa"/>
              <w:right w:w="108" w:type="dxa"/>
            </w:tcMar>
            <w:vAlign w:val="center"/>
          </w:tcPr>
          <w:p w14:paraId="3FFE891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DF2E1C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6634D5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65D31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14C5F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5571C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105B1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163E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688A89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4FB37A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D5737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543" w:type="dxa"/>
            <w:shd w:val="clear" w:color="auto" w:fill="auto"/>
            <w:tcMar>
              <w:left w:w="108" w:type="dxa"/>
              <w:right w:w="108" w:type="dxa"/>
            </w:tcMar>
            <w:vAlign w:val="center"/>
          </w:tcPr>
          <w:p w14:paraId="02837B0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10B4B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03ADD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84704F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EA0DA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78AA1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91794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899C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4CF4D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A8970A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6BD1D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543" w:type="dxa"/>
            <w:shd w:val="clear" w:color="auto" w:fill="auto"/>
            <w:tcMar>
              <w:left w:w="108" w:type="dxa"/>
              <w:right w:w="108" w:type="dxa"/>
            </w:tcMar>
            <w:vAlign w:val="center"/>
          </w:tcPr>
          <w:p w14:paraId="7D9509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17226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E3EDA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2084B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8689A8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599CA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427009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0874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112F8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B69DD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2B75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543" w:type="dxa"/>
            <w:shd w:val="clear" w:color="auto" w:fill="auto"/>
            <w:tcMar>
              <w:left w:w="108" w:type="dxa"/>
              <w:right w:w="108" w:type="dxa"/>
            </w:tcMar>
            <w:vAlign w:val="center"/>
          </w:tcPr>
          <w:p w14:paraId="4809AC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E0316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87C65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EB8C0D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98C177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902FC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A51FE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04DF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AFEB42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AB7BA3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073805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543" w:type="dxa"/>
            <w:shd w:val="clear" w:color="auto" w:fill="auto"/>
            <w:tcMar>
              <w:left w:w="108" w:type="dxa"/>
              <w:right w:w="108" w:type="dxa"/>
            </w:tcMar>
            <w:vAlign w:val="center"/>
          </w:tcPr>
          <w:p w14:paraId="2DCEFEA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A0274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E01C8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140C4D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38E8A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1A470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34720C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7FD2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9B5A6B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62922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876E5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543" w:type="dxa"/>
            <w:shd w:val="clear" w:color="auto" w:fill="auto"/>
            <w:tcMar>
              <w:left w:w="108" w:type="dxa"/>
              <w:right w:w="108" w:type="dxa"/>
            </w:tcMar>
            <w:vAlign w:val="center"/>
          </w:tcPr>
          <w:p w14:paraId="3F7B87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5FA88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F5BF8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C9ACF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59A1D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B52AB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283CB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C961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62672E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1FB3F8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355" w:type="dxa"/>
            <w:shd w:val="clear" w:color="auto" w:fill="auto"/>
            <w:tcMar>
              <w:left w:w="108" w:type="dxa"/>
              <w:right w:w="108" w:type="dxa"/>
            </w:tcMar>
            <w:vAlign w:val="center"/>
          </w:tcPr>
          <w:p w14:paraId="3EDC867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543" w:type="dxa"/>
            <w:shd w:val="clear" w:color="auto" w:fill="auto"/>
            <w:tcMar>
              <w:left w:w="108" w:type="dxa"/>
              <w:right w:w="108" w:type="dxa"/>
            </w:tcMar>
            <w:vAlign w:val="center"/>
          </w:tcPr>
          <w:p w14:paraId="3771E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CEEEE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8A532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A49E9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B579B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851AD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47D48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F42A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F13D81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F922D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7E5EA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543" w:type="dxa"/>
            <w:shd w:val="clear" w:color="auto" w:fill="auto"/>
            <w:tcMar>
              <w:left w:w="108" w:type="dxa"/>
              <w:right w:w="108" w:type="dxa"/>
            </w:tcMar>
            <w:vAlign w:val="center"/>
          </w:tcPr>
          <w:p w14:paraId="3532C3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776079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5F21FD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72662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F88E1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9E6EE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439C5F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01A4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0F438C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2646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9B95F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543" w:type="dxa"/>
            <w:shd w:val="clear" w:color="auto" w:fill="auto"/>
            <w:tcMar>
              <w:left w:w="108" w:type="dxa"/>
              <w:right w:w="108" w:type="dxa"/>
            </w:tcMar>
            <w:vAlign w:val="center"/>
          </w:tcPr>
          <w:p w14:paraId="42ADFE3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29D89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DE4F72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80562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20CE5A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F3E60C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9171B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06EE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161BA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59C2FC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355" w:type="dxa"/>
            <w:shd w:val="clear" w:color="auto" w:fill="auto"/>
            <w:tcMar>
              <w:left w:w="108" w:type="dxa"/>
              <w:right w:w="108" w:type="dxa"/>
            </w:tcMar>
            <w:vAlign w:val="center"/>
          </w:tcPr>
          <w:p w14:paraId="0D11A9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543" w:type="dxa"/>
            <w:shd w:val="clear" w:color="auto" w:fill="auto"/>
            <w:tcMar>
              <w:left w:w="108" w:type="dxa"/>
              <w:right w:w="108" w:type="dxa"/>
            </w:tcMar>
            <w:vAlign w:val="center"/>
          </w:tcPr>
          <w:p w14:paraId="287BAFC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EE62C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AF177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C69779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1D4264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D8802E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C8520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0062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C96ECD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3A5CB82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62BCD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543" w:type="dxa"/>
            <w:shd w:val="clear" w:color="auto" w:fill="auto"/>
            <w:tcMar>
              <w:left w:w="108" w:type="dxa"/>
              <w:right w:w="108" w:type="dxa"/>
            </w:tcMar>
            <w:vAlign w:val="center"/>
          </w:tcPr>
          <w:p w14:paraId="12529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3762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C1ABBE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86E10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A9F48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55CD1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722DD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18D8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50C096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3B208FD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C8D8A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543" w:type="dxa"/>
            <w:shd w:val="clear" w:color="auto" w:fill="auto"/>
            <w:tcMar>
              <w:left w:w="108" w:type="dxa"/>
              <w:right w:w="108" w:type="dxa"/>
            </w:tcMar>
            <w:vAlign w:val="center"/>
          </w:tcPr>
          <w:p w14:paraId="494BD0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ADA06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11BE70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AD7DA2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09DF87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9D115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F9CA6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1510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F0ED9E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893A38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9706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543" w:type="dxa"/>
            <w:shd w:val="clear" w:color="auto" w:fill="auto"/>
            <w:tcMar>
              <w:left w:w="108" w:type="dxa"/>
              <w:right w:w="108" w:type="dxa"/>
            </w:tcMar>
            <w:vAlign w:val="center"/>
          </w:tcPr>
          <w:p w14:paraId="11D8B5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14C1D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826E2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A4AC2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782C0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5135D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B77C6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FEA2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CB17E8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BABC1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0DF55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52F9DE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543" w:type="dxa"/>
            <w:shd w:val="clear" w:color="auto" w:fill="auto"/>
            <w:tcMar>
              <w:left w:w="108" w:type="dxa"/>
              <w:right w:w="108" w:type="dxa"/>
            </w:tcMar>
            <w:vAlign w:val="center"/>
          </w:tcPr>
          <w:p w14:paraId="2510AF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B4625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9AE6B5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3A6AC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31E31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58013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E22D08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E87E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A67224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642C7CE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355" w:type="dxa"/>
            <w:shd w:val="clear" w:color="auto" w:fill="auto"/>
            <w:vAlign w:val="center"/>
          </w:tcPr>
          <w:p w14:paraId="5A2445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543" w:type="dxa"/>
            <w:shd w:val="clear" w:color="auto" w:fill="auto"/>
            <w:tcMar>
              <w:left w:w="108" w:type="dxa"/>
              <w:right w:w="108" w:type="dxa"/>
            </w:tcMar>
            <w:vAlign w:val="center"/>
          </w:tcPr>
          <w:p w14:paraId="6F2B4C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A6689D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6423CA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F7B476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12489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19EBB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5965C1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9E42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14BB60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0AD889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3C342B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4CB39F2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2AE71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E35885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E19CE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B5212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D74AB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B8ABF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3D602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33D69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F77B8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70059D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543" w:type="dxa"/>
            <w:shd w:val="clear" w:color="auto" w:fill="auto"/>
            <w:tcMar>
              <w:left w:w="108" w:type="dxa"/>
              <w:right w:w="108" w:type="dxa"/>
            </w:tcMar>
            <w:vAlign w:val="center"/>
          </w:tcPr>
          <w:p w14:paraId="57C81E3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BA2BA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5C813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A44B7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42190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EB66E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01888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974B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967FFA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355" w:type="dxa"/>
            <w:gridSpan w:val="2"/>
            <w:shd w:val="clear" w:color="auto" w:fill="auto"/>
            <w:tcMar>
              <w:left w:w="108" w:type="dxa"/>
              <w:right w:w="108" w:type="dxa"/>
            </w:tcMar>
            <w:vAlign w:val="center"/>
          </w:tcPr>
          <w:p w14:paraId="7B7566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543" w:type="dxa"/>
            <w:shd w:val="clear" w:color="auto" w:fill="auto"/>
            <w:tcMar>
              <w:left w:w="108" w:type="dxa"/>
              <w:right w:w="108" w:type="dxa"/>
            </w:tcMar>
            <w:vAlign w:val="center"/>
          </w:tcPr>
          <w:p w14:paraId="0EE9C7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38F9B9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781E4D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877" w:type="dxa"/>
            <w:shd w:val="clear" w:color="auto" w:fill="auto"/>
            <w:tcMar>
              <w:left w:w="108" w:type="dxa"/>
              <w:right w:w="108" w:type="dxa"/>
            </w:tcMar>
            <w:vAlign w:val="center"/>
          </w:tcPr>
          <w:p w14:paraId="33C4492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701" w:type="dxa"/>
            <w:shd w:val="clear" w:color="auto" w:fill="auto"/>
            <w:tcMar>
              <w:left w:w="108" w:type="dxa"/>
              <w:right w:w="108" w:type="dxa"/>
            </w:tcMar>
            <w:vAlign w:val="center"/>
          </w:tcPr>
          <w:p w14:paraId="6BC108A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4" w:type="dxa"/>
            <w:shd w:val="clear" w:color="auto" w:fill="auto"/>
            <w:tcMar>
              <w:left w:w="108" w:type="dxa"/>
              <w:right w:w="108" w:type="dxa"/>
            </w:tcMar>
            <w:vAlign w:val="center"/>
          </w:tcPr>
          <w:p w14:paraId="06363F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6" w:type="dxa"/>
            <w:shd w:val="clear" w:color="auto" w:fill="auto"/>
            <w:tcMar>
              <w:left w:w="108" w:type="dxa"/>
              <w:right w:w="108" w:type="dxa"/>
            </w:tcMar>
            <w:vAlign w:val="center"/>
          </w:tcPr>
          <w:p w14:paraId="246413A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r>
      <w:tr w14:paraId="5212C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6FDA72D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543" w:type="dxa"/>
            <w:shd w:val="clear" w:color="auto" w:fill="auto"/>
            <w:tcMar>
              <w:left w:w="108" w:type="dxa"/>
              <w:right w:w="108" w:type="dxa"/>
            </w:tcMar>
            <w:vAlign w:val="center"/>
          </w:tcPr>
          <w:p w14:paraId="22A1D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0A2BF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7CA9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6F2A55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F811E4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20550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457F89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52F83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43" w:type="pct"/>
        <w:jc w:val="center"/>
        <w:tblLayout w:type="autofit"/>
        <w:tblCellMar>
          <w:top w:w="0" w:type="dxa"/>
          <w:left w:w="10" w:type="dxa"/>
          <w:bottom w:w="0" w:type="dxa"/>
          <w:right w:w="10" w:type="dxa"/>
        </w:tblCellMar>
      </w:tblPr>
      <w:tblGrid>
        <w:gridCol w:w="549"/>
        <w:gridCol w:w="551"/>
        <w:gridCol w:w="551"/>
        <w:gridCol w:w="551"/>
        <w:gridCol w:w="591"/>
        <w:gridCol w:w="551"/>
        <w:gridCol w:w="551"/>
        <w:gridCol w:w="551"/>
        <w:gridCol w:w="551"/>
        <w:gridCol w:w="596"/>
        <w:gridCol w:w="551"/>
        <w:gridCol w:w="551"/>
        <w:gridCol w:w="551"/>
        <w:gridCol w:w="551"/>
        <w:gridCol w:w="601"/>
      </w:tblGrid>
      <w:tr w14:paraId="66851923">
        <w:tblPrEx>
          <w:tblCellMar>
            <w:top w:w="0" w:type="dxa"/>
            <w:left w:w="10" w:type="dxa"/>
            <w:bottom w:w="0" w:type="dxa"/>
            <w:right w:w="10" w:type="dxa"/>
          </w:tblCellMar>
        </w:tblPrEx>
        <w:trPr>
          <w:trHeight w:val="568" w:hRule="atLeast"/>
          <w:jc w:val="center"/>
        </w:trPr>
        <w:tc>
          <w:tcPr>
            <w:tcW w:w="1663" w:type="pct"/>
            <w:gridSpan w:val="5"/>
            <w:tcBorders>
              <w:top w:val="single" w:color="auto" w:sz="4" w:space="0"/>
              <w:left w:val="single" w:color="auto" w:sz="4" w:space="0"/>
            </w:tcBorders>
            <w:shd w:val="clear" w:color="auto" w:fill="FFFFFF"/>
            <w:vAlign w:val="center"/>
          </w:tcPr>
          <w:p w14:paraId="7247325C">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行政复议</w:t>
            </w:r>
          </w:p>
        </w:tc>
        <w:tc>
          <w:tcPr>
            <w:tcW w:w="3336" w:type="pct"/>
            <w:gridSpan w:val="10"/>
            <w:tcBorders>
              <w:top w:val="single" w:color="auto" w:sz="4" w:space="0"/>
              <w:left w:val="single" w:color="auto" w:sz="4" w:space="0"/>
              <w:right w:val="single" w:color="auto" w:sz="4" w:space="0"/>
            </w:tcBorders>
            <w:shd w:val="clear" w:color="auto" w:fill="FFFFFF"/>
            <w:vAlign w:val="center"/>
          </w:tcPr>
          <w:p w14:paraId="2DC0C760">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行政诉讼</w:t>
            </w:r>
          </w:p>
        </w:tc>
      </w:tr>
      <w:tr w14:paraId="0AC9484A">
        <w:tblPrEx>
          <w:tblCellMar>
            <w:top w:w="0" w:type="dxa"/>
            <w:left w:w="10" w:type="dxa"/>
            <w:bottom w:w="0" w:type="dxa"/>
            <w:right w:w="10" w:type="dxa"/>
          </w:tblCellMar>
        </w:tblPrEx>
        <w:trPr>
          <w:trHeight w:val="568" w:hRule="atLeast"/>
          <w:jc w:val="center"/>
        </w:trPr>
        <w:tc>
          <w:tcPr>
            <w:tcW w:w="327" w:type="pct"/>
            <w:vMerge w:val="restart"/>
            <w:tcBorders>
              <w:top w:val="single" w:color="auto" w:sz="4" w:space="0"/>
              <w:left w:val="single" w:color="auto" w:sz="4" w:space="0"/>
            </w:tcBorders>
            <w:shd w:val="clear" w:color="auto" w:fill="FFFFFF"/>
            <w:vAlign w:val="center"/>
          </w:tcPr>
          <w:p w14:paraId="2E55800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维持</w:t>
            </w:r>
          </w:p>
        </w:tc>
        <w:tc>
          <w:tcPr>
            <w:tcW w:w="328" w:type="pct"/>
            <w:vMerge w:val="restart"/>
            <w:tcBorders>
              <w:top w:val="single" w:color="auto" w:sz="4" w:space="0"/>
              <w:left w:val="single" w:color="auto" w:sz="4" w:space="0"/>
            </w:tcBorders>
            <w:shd w:val="clear" w:color="auto" w:fill="FFFFFF"/>
            <w:vAlign w:val="center"/>
          </w:tcPr>
          <w:p w14:paraId="20ABED20">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纠正</w:t>
            </w:r>
          </w:p>
        </w:tc>
        <w:tc>
          <w:tcPr>
            <w:tcW w:w="328" w:type="pct"/>
            <w:vMerge w:val="restart"/>
            <w:tcBorders>
              <w:top w:val="single" w:color="auto" w:sz="4" w:space="0"/>
              <w:left w:val="single" w:color="auto" w:sz="4" w:space="0"/>
            </w:tcBorders>
            <w:shd w:val="clear" w:color="auto" w:fill="FFFFFF"/>
            <w:vAlign w:val="center"/>
          </w:tcPr>
          <w:p w14:paraId="5D318CE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其他 结果</w:t>
            </w:r>
          </w:p>
        </w:tc>
        <w:tc>
          <w:tcPr>
            <w:tcW w:w="328" w:type="pct"/>
            <w:vMerge w:val="restart"/>
            <w:tcBorders>
              <w:top w:val="single" w:color="auto" w:sz="4" w:space="0"/>
              <w:left w:val="single" w:color="auto" w:sz="4" w:space="0"/>
            </w:tcBorders>
            <w:shd w:val="clear" w:color="auto" w:fill="FFFFFF"/>
            <w:vAlign w:val="center"/>
          </w:tcPr>
          <w:p w14:paraId="797C0DFC">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尚未 审结</w:t>
            </w:r>
          </w:p>
        </w:tc>
        <w:tc>
          <w:tcPr>
            <w:tcW w:w="350" w:type="pct"/>
            <w:vMerge w:val="restart"/>
            <w:tcBorders>
              <w:top w:val="single" w:color="auto" w:sz="4" w:space="0"/>
              <w:left w:val="single" w:color="auto" w:sz="4" w:space="0"/>
            </w:tcBorders>
            <w:shd w:val="clear" w:color="auto" w:fill="FFFFFF"/>
            <w:textDirection w:val="tbRlV"/>
            <w:vAlign w:val="bottom"/>
          </w:tcPr>
          <w:p w14:paraId="745BEE4C">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总计</w:t>
            </w:r>
          </w:p>
        </w:tc>
        <w:tc>
          <w:tcPr>
            <w:tcW w:w="1667" w:type="pct"/>
            <w:gridSpan w:val="5"/>
            <w:tcBorders>
              <w:top w:val="single" w:color="auto" w:sz="4" w:space="0"/>
              <w:left w:val="single" w:color="auto" w:sz="4" w:space="0"/>
            </w:tcBorders>
            <w:shd w:val="clear" w:color="auto" w:fill="FFFFFF"/>
            <w:vAlign w:val="center"/>
          </w:tcPr>
          <w:p w14:paraId="25BFF8E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未经复议直接起诉</w:t>
            </w:r>
          </w:p>
        </w:tc>
        <w:tc>
          <w:tcPr>
            <w:tcW w:w="1668" w:type="pct"/>
            <w:gridSpan w:val="5"/>
            <w:tcBorders>
              <w:top w:val="single" w:color="auto" w:sz="4" w:space="0"/>
              <w:left w:val="single" w:color="auto" w:sz="4" w:space="0"/>
              <w:right w:val="single" w:color="auto" w:sz="4" w:space="0"/>
            </w:tcBorders>
            <w:shd w:val="clear" w:color="auto" w:fill="FFFFFF"/>
            <w:vAlign w:val="center"/>
          </w:tcPr>
          <w:p w14:paraId="34D0794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复议后起诉</w:t>
            </w:r>
          </w:p>
        </w:tc>
      </w:tr>
      <w:tr w14:paraId="0D16672A">
        <w:tblPrEx>
          <w:tblCellMar>
            <w:top w:w="0" w:type="dxa"/>
            <w:left w:w="10" w:type="dxa"/>
            <w:bottom w:w="0" w:type="dxa"/>
            <w:right w:w="10" w:type="dxa"/>
          </w:tblCellMar>
        </w:tblPrEx>
        <w:trPr>
          <w:trHeight w:val="1126" w:hRule="atLeast"/>
          <w:jc w:val="center"/>
        </w:trPr>
        <w:tc>
          <w:tcPr>
            <w:tcW w:w="327" w:type="pct"/>
            <w:vMerge w:val="continue"/>
            <w:tcBorders>
              <w:left w:val="single" w:color="auto" w:sz="4" w:space="0"/>
            </w:tcBorders>
            <w:shd w:val="clear" w:color="auto" w:fill="FFFFFF"/>
            <w:vAlign w:val="center"/>
          </w:tcPr>
          <w:p w14:paraId="4B67A1CC">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p>
        </w:tc>
        <w:tc>
          <w:tcPr>
            <w:tcW w:w="328" w:type="pct"/>
            <w:vMerge w:val="continue"/>
            <w:tcBorders>
              <w:left w:val="single" w:color="auto" w:sz="4" w:space="0"/>
            </w:tcBorders>
            <w:shd w:val="clear" w:color="auto" w:fill="FFFFFF"/>
            <w:vAlign w:val="center"/>
          </w:tcPr>
          <w:p w14:paraId="595A9950">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p>
        </w:tc>
        <w:tc>
          <w:tcPr>
            <w:tcW w:w="328" w:type="pct"/>
            <w:vMerge w:val="continue"/>
            <w:tcBorders>
              <w:left w:val="single" w:color="auto" w:sz="4" w:space="0"/>
            </w:tcBorders>
            <w:shd w:val="clear" w:color="auto" w:fill="FFFFFF"/>
            <w:vAlign w:val="center"/>
          </w:tcPr>
          <w:p w14:paraId="36AFB80E">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p>
        </w:tc>
        <w:tc>
          <w:tcPr>
            <w:tcW w:w="328" w:type="pct"/>
            <w:vMerge w:val="continue"/>
            <w:tcBorders>
              <w:left w:val="single" w:color="auto" w:sz="4" w:space="0"/>
            </w:tcBorders>
            <w:shd w:val="clear" w:color="auto" w:fill="FFFFFF"/>
            <w:vAlign w:val="center"/>
          </w:tcPr>
          <w:p w14:paraId="3B8B9B81">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p>
        </w:tc>
        <w:tc>
          <w:tcPr>
            <w:tcW w:w="350" w:type="pct"/>
            <w:vMerge w:val="continue"/>
            <w:tcBorders>
              <w:left w:val="single" w:color="auto" w:sz="4" w:space="0"/>
            </w:tcBorders>
            <w:shd w:val="clear" w:color="auto" w:fill="FFFFFF"/>
            <w:textDirection w:val="tbRlV"/>
            <w:vAlign w:val="bottom"/>
          </w:tcPr>
          <w:p w14:paraId="63A8252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p>
        </w:tc>
        <w:tc>
          <w:tcPr>
            <w:tcW w:w="328" w:type="pct"/>
            <w:tcBorders>
              <w:top w:val="single" w:color="auto" w:sz="4" w:space="0"/>
              <w:left w:val="single" w:color="auto" w:sz="4" w:space="0"/>
            </w:tcBorders>
            <w:shd w:val="clear" w:color="auto" w:fill="FFFFFF"/>
            <w:vAlign w:val="center"/>
          </w:tcPr>
          <w:p w14:paraId="2BCDDA2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维持</w:t>
            </w:r>
          </w:p>
        </w:tc>
        <w:tc>
          <w:tcPr>
            <w:tcW w:w="328" w:type="pct"/>
            <w:tcBorders>
              <w:top w:val="single" w:color="auto" w:sz="4" w:space="0"/>
              <w:left w:val="single" w:color="auto" w:sz="4" w:space="0"/>
            </w:tcBorders>
            <w:shd w:val="clear" w:color="auto" w:fill="FFFFFF"/>
            <w:vAlign w:val="center"/>
          </w:tcPr>
          <w:p w14:paraId="06F6FBB8">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纠正</w:t>
            </w:r>
          </w:p>
        </w:tc>
        <w:tc>
          <w:tcPr>
            <w:tcW w:w="328" w:type="pct"/>
            <w:tcBorders>
              <w:top w:val="single" w:color="auto" w:sz="4" w:space="0"/>
              <w:left w:val="single" w:color="auto" w:sz="4" w:space="0"/>
            </w:tcBorders>
            <w:shd w:val="clear" w:color="auto" w:fill="FFFFFF"/>
            <w:vAlign w:val="center"/>
          </w:tcPr>
          <w:p w14:paraId="7E04B73F">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其他 结果</w:t>
            </w:r>
          </w:p>
        </w:tc>
        <w:tc>
          <w:tcPr>
            <w:tcW w:w="328" w:type="pct"/>
            <w:tcBorders>
              <w:top w:val="single" w:color="auto" w:sz="4" w:space="0"/>
              <w:left w:val="single" w:color="auto" w:sz="4" w:space="0"/>
            </w:tcBorders>
            <w:shd w:val="clear" w:color="auto" w:fill="FFFFFF"/>
            <w:vAlign w:val="center"/>
          </w:tcPr>
          <w:p w14:paraId="36C07208">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尚未 审结</w:t>
            </w:r>
          </w:p>
        </w:tc>
        <w:tc>
          <w:tcPr>
            <w:tcW w:w="353" w:type="pct"/>
            <w:tcBorders>
              <w:top w:val="single" w:color="auto" w:sz="4" w:space="0"/>
              <w:left w:val="single" w:color="auto" w:sz="4" w:space="0"/>
            </w:tcBorders>
            <w:shd w:val="clear" w:color="auto" w:fill="FFFFFF"/>
            <w:textDirection w:val="tbRlV"/>
          </w:tcPr>
          <w:p w14:paraId="41DC35DF">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总计</w:t>
            </w:r>
          </w:p>
        </w:tc>
        <w:tc>
          <w:tcPr>
            <w:tcW w:w="328" w:type="pct"/>
            <w:tcBorders>
              <w:top w:val="single" w:color="auto" w:sz="4" w:space="0"/>
              <w:left w:val="single" w:color="auto" w:sz="4" w:space="0"/>
            </w:tcBorders>
            <w:shd w:val="clear" w:color="auto" w:fill="FFFFFF"/>
            <w:vAlign w:val="center"/>
          </w:tcPr>
          <w:p w14:paraId="29A653B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维持</w:t>
            </w:r>
          </w:p>
        </w:tc>
        <w:tc>
          <w:tcPr>
            <w:tcW w:w="328" w:type="pct"/>
            <w:tcBorders>
              <w:top w:val="single" w:color="auto" w:sz="4" w:space="0"/>
              <w:left w:val="single" w:color="auto" w:sz="4" w:space="0"/>
            </w:tcBorders>
            <w:shd w:val="clear" w:color="auto" w:fill="FFFFFF"/>
            <w:vAlign w:val="center"/>
          </w:tcPr>
          <w:p w14:paraId="3A1B4D0A">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结果 纠正</w:t>
            </w:r>
          </w:p>
        </w:tc>
        <w:tc>
          <w:tcPr>
            <w:tcW w:w="328" w:type="pct"/>
            <w:tcBorders>
              <w:top w:val="single" w:color="auto" w:sz="4" w:space="0"/>
              <w:left w:val="single" w:color="auto" w:sz="4" w:space="0"/>
            </w:tcBorders>
            <w:shd w:val="clear" w:color="auto" w:fill="FFFFFF"/>
            <w:vAlign w:val="center"/>
          </w:tcPr>
          <w:p w14:paraId="5DB7972D">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其他 结果</w:t>
            </w:r>
          </w:p>
        </w:tc>
        <w:tc>
          <w:tcPr>
            <w:tcW w:w="328" w:type="pct"/>
            <w:tcBorders>
              <w:top w:val="single" w:color="auto" w:sz="4" w:space="0"/>
              <w:left w:val="single" w:color="auto" w:sz="4" w:space="0"/>
            </w:tcBorders>
            <w:shd w:val="clear" w:color="auto" w:fill="FFFFFF"/>
            <w:vAlign w:val="center"/>
          </w:tcPr>
          <w:p w14:paraId="34728692">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尚未 审结</w:t>
            </w:r>
          </w:p>
        </w:tc>
        <w:tc>
          <w:tcPr>
            <w:tcW w:w="354" w:type="pct"/>
            <w:tcBorders>
              <w:top w:val="single" w:color="auto" w:sz="4" w:space="0"/>
              <w:left w:val="single" w:color="auto" w:sz="4" w:space="0"/>
              <w:right w:val="single" w:color="auto" w:sz="4" w:space="0"/>
            </w:tcBorders>
            <w:shd w:val="clear" w:color="auto" w:fill="FFFFFF"/>
            <w:textDirection w:val="tbRlV"/>
          </w:tcPr>
          <w:p w14:paraId="4F8D57DC">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rPr>
            </w:pPr>
            <w:r>
              <w:rPr>
                <w:rFonts w:hint="default"/>
              </w:rPr>
              <w:t>总计</w:t>
            </w:r>
          </w:p>
        </w:tc>
      </w:tr>
      <w:tr w14:paraId="47D9CA3B">
        <w:tblPrEx>
          <w:tblCellMar>
            <w:top w:w="0" w:type="dxa"/>
            <w:left w:w="10" w:type="dxa"/>
            <w:bottom w:w="0" w:type="dxa"/>
            <w:right w:w="10" w:type="dxa"/>
          </w:tblCellMar>
        </w:tblPrEx>
        <w:trPr>
          <w:trHeight w:val="578" w:hRule="atLeast"/>
          <w:jc w:val="center"/>
        </w:trPr>
        <w:tc>
          <w:tcPr>
            <w:tcW w:w="327" w:type="pct"/>
            <w:tcBorders>
              <w:top w:val="single" w:color="auto" w:sz="4" w:space="0"/>
              <w:left w:val="single" w:color="auto" w:sz="4" w:space="0"/>
              <w:bottom w:val="single" w:color="auto" w:sz="4" w:space="0"/>
            </w:tcBorders>
            <w:shd w:val="clear" w:color="auto" w:fill="FFFFFF"/>
            <w:vAlign w:val="center"/>
          </w:tcPr>
          <w:p w14:paraId="3CF84E42">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6417518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951E82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523BFE72">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50" w:type="pct"/>
            <w:tcBorders>
              <w:top w:val="single" w:color="auto" w:sz="4" w:space="0"/>
              <w:left w:val="single" w:color="auto" w:sz="4" w:space="0"/>
              <w:bottom w:val="single" w:color="auto" w:sz="4" w:space="0"/>
            </w:tcBorders>
            <w:shd w:val="clear" w:color="auto" w:fill="FFFFFF"/>
            <w:vAlign w:val="center"/>
          </w:tcPr>
          <w:p w14:paraId="054F58E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7B597F2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64E0B3AB">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533740F3">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1D824BF8">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53" w:type="pct"/>
            <w:tcBorders>
              <w:top w:val="single" w:color="auto" w:sz="4" w:space="0"/>
              <w:left w:val="single" w:color="auto" w:sz="4" w:space="0"/>
              <w:bottom w:val="single" w:color="auto" w:sz="4" w:space="0"/>
            </w:tcBorders>
            <w:shd w:val="clear" w:color="auto" w:fill="FFFFFF"/>
            <w:vAlign w:val="center"/>
          </w:tcPr>
          <w:p w14:paraId="79D7BD9F">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36C9A547">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167C93F9">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671C3B68">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28" w:type="pct"/>
            <w:tcBorders>
              <w:top w:val="single" w:color="auto" w:sz="4" w:space="0"/>
              <w:left w:val="single" w:color="auto" w:sz="4" w:space="0"/>
              <w:bottom w:val="single" w:color="auto" w:sz="4" w:space="0"/>
            </w:tcBorders>
            <w:shd w:val="clear" w:color="auto" w:fill="FFFFFF"/>
            <w:vAlign w:val="center"/>
          </w:tcPr>
          <w:p w14:paraId="2A092A9B">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FFFFFF"/>
            <w:vAlign w:val="center"/>
          </w:tcPr>
          <w:p w14:paraId="0955F6B2">
            <w:pPr>
              <w:keepNext w:val="0"/>
              <w:keepLines w:val="0"/>
              <w:pageBreakBefore w:val="0"/>
              <w:kinsoku/>
              <w:wordWrap/>
              <w:overflowPunct/>
              <w:topLinePunct w:val="0"/>
              <w:autoSpaceDE/>
              <w:autoSpaceDN/>
              <w:bidi w:val="0"/>
              <w:adjustRightInd/>
              <w:snapToGrid w:val="0"/>
              <w:spacing w:line="560" w:lineRule="exact"/>
              <w:jc w:val="center"/>
              <w:textAlignment w:val="auto"/>
              <w:rPr>
                <w:rFonts w:hint="default"/>
                <w:lang w:val="en-US" w:eastAsia="zh-CN"/>
              </w:rPr>
            </w:pPr>
            <w:r>
              <w:rPr>
                <w:rFonts w:hint="eastAsia"/>
                <w:lang w:val="en-US" w:eastAsia="zh-CN"/>
              </w:rPr>
              <w:t>0</w:t>
            </w:r>
          </w:p>
        </w:tc>
      </w:tr>
    </w:tbl>
    <w:p w14:paraId="165BA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五、存在的主要问题及改进情况</w:t>
      </w:r>
    </w:p>
    <w:p w14:paraId="11A75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（一）2024年存在问题整改情况</w:t>
      </w:r>
    </w:p>
    <w:p w14:paraId="3096FA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val="en-US" w:eastAsia="zh-CN"/>
        </w:rPr>
      </w:pPr>
      <w:r>
        <w:rPr>
          <w:rFonts w:hint="eastAsia" w:ascii="仿宋_GB2312" w:hAnsi="仿宋_GB2312" w:eastAsia="仿宋_GB2312" w:cs="仿宋_GB2312"/>
          <w:color w:val="000000"/>
          <w:kern w:val="0"/>
          <w:sz w:val="32"/>
          <w:szCs w:val="32"/>
          <w:lang w:val="en-US" w:eastAsia="zh-CN" w:bidi="ar"/>
        </w:rPr>
        <w:t>针对2024年思想认识不足、公民参与度低等问题，我局通过优化政府信息解读与渠道、深化政务公开内容与形式、定期开展信息公开业务学习培训、加大对重要政策、重点项目、民生领域信息的公开力度等方式，及时回应公众关切，消除误解、澄清疑虑，提高政府信息的可读性和吸引力，增强公众对政务公开工作的认知和参与。</w:t>
      </w:r>
    </w:p>
    <w:p w14:paraId="58083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（二）2025年存在问题</w:t>
      </w:r>
    </w:p>
    <w:p w14:paraId="70767D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t>1.</w:t>
      </w:r>
      <w:r>
        <w:rPr>
          <w:rFonts w:hint="default"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t>重点领域信息公开的深度和广度仍需拓展，部分领域公开内容较为原则，未能完全满足公众精细化信息需求。</w:t>
      </w:r>
    </w:p>
    <w:p w14:paraId="1160C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lang w:val="en-US" w:eastAsia="zh-CN" w:bidi="zh-TW"/>
          <w14:textFill>
            <w14:solidFill>
              <w14:schemeClr w14:val="tx1"/>
            </w14:solidFill>
          </w14:textFill>
        </w:rPr>
        <w:t>.依申请公开工作的规范化、标准化水平仍需提升，对复杂申请的研判和答复能力有待加强。</w:t>
      </w:r>
    </w:p>
    <w:p w14:paraId="0713A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w:t>
      </w:r>
      <w:r>
        <w:rPr>
          <w:rFonts w:hint="eastAsia"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val="en-US" w:eastAsia="zh-CN"/>
        </w:rPr>
        <w:t>）改进措施</w:t>
      </w:r>
    </w:p>
    <w:p w14:paraId="243CDB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1.深化重点领域公开。围绕重大项目等公众高度关注的领域，制定更细致的公开标准和要求，推动公开内容向过程、结果、服务全方位延伸。</w:t>
      </w:r>
    </w:p>
    <w:p w14:paraId="615212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eastAsia" w:ascii="仿宋_GB2312" w:hAnsi="仿宋_GB2312" w:eastAsia="仿宋_GB2312" w:cs="仿宋_GB2312"/>
          <w:bCs/>
          <w:color w:val="auto"/>
          <w:sz w:val="32"/>
          <w:szCs w:val="32"/>
          <w:lang w:val="en-US" w:eastAsia="zh-CN"/>
        </w:rPr>
        <w:t>2.提升依申请办理能力。组织专题培训和案例研讨，提升工作人员法律素养和业务能力。完善依申请公开疑难问题会商机制，确保答复依法有据、规范严谨。</w:t>
      </w:r>
    </w:p>
    <w:p w14:paraId="4F90E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六、</w:t>
      </w:r>
      <w:r>
        <w:rPr>
          <w:rFonts w:hint="default" w:ascii="Times New Roman" w:hAnsi="Times New Roman" w:eastAsia="黑体" w:cs="Times New Roman"/>
          <w:bCs/>
          <w:color w:val="auto"/>
          <w:sz w:val="32"/>
          <w:szCs w:val="32"/>
          <w:lang w:eastAsia="zh-CN"/>
        </w:rPr>
        <w:t>其他需要报告的事项</w:t>
      </w:r>
    </w:p>
    <w:p w14:paraId="0F2AC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（一）收取信息处理费的情况</w:t>
      </w:r>
    </w:p>
    <w:p w14:paraId="3F5D7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本年度</w:t>
      </w:r>
      <w:r>
        <w:rPr>
          <w:rFonts w:hint="eastAsia"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lang w:val="en-US" w:eastAsia="zh-CN"/>
        </w:rPr>
        <w:t>依申请公开政府信息费用收取情况。</w:t>
      </w:r>
    </w:p>
    <w:p w14:paraId="7F15DFF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（二）落实上级年度政务公开工作要点情况</w:t>
      </w:r>
    </w:p>
    <w:p w14:paraId="395155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w:t>
      </w:r>
      <w:r>
        <w:rPr>
          <w:rFonts w:hint="eastAsia" w:eastAsia="仿宋_GB2312" w:cs="Times New Roman"/>
          <w:b w:val="0"/>
          <w:bCs w:val="0"/>
          <w:color w:val="auto"/>
          <w:sz w:val="32"/>
          <w:szCs w:val="32"/>
          <w:lang w:val="en-US" w:eastAsia="zh-CN"/>
        </w:rPr>
        <w:t>区城乡水务局</w:t>
      </w:r>
      <w:r>
        <w:rPr>
          <w:rFonts w:hint="default" w:ascii="Times New Roman" w:hAnsi="Times New Roman" w:eastAsia="仿宋_GB2312" w:cs="Times New Roman"/>
          <w:b w:val="0"/>
          <w:bCs w:val="0"/>
          <w:color w:val="auto"/>
          <w:sz w:val="32"/>
          <w:szCs w:val="32"/>
          <w:lang w:val="en-US" w:eastAsia="zh-CN"/>
        </w:rPr>
        <w:t>坚持以服务高质量发展为主线，深入贯彻落实国家、省、市关于全面推进政务公开工作的系列决策部署，以公开促落实、促规范、促服务。</w:t>
      </w:r>
      <w:r>
        <w:rPr>
          <w:rFonts w:hint="eastAsia" w:eastAsia="仿宋_GB2312" w:cs="Times New Roman"/>
          <w:b w:val="0"/>
          <w:bCs w:val="0"/>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坚持“公开为常态、不公开为例外”的原则，将政务公开作为推进法治政府、廉洁政府和服务型政府建设的关键抓手</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聚焦保障改善民生等重点领域，旨在通过高质量公开提升政府治理效能与社会公信力。</w:t>
      </w:r>
      <w:r>
        <w:rPr>
          <w:rFonts w:hint="eastAsia" w:eastAsia="仿宋_GB2312" w:cs="Times New Roman"/>
          <w:b w:val="0"/>
          <w:bCs w:val="0"/>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深化重点领域信息公开，围绕中心工作</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及时发布并动态更新关于</w:t>
      </w:r>
      <w:r>
        <w:rPr>
          <w:rFonts w:hint="eastAsia" w:eastAsia="仿宋_GB2312" w:cs="Times New Roman"/>
          <w:b w:val="0"/>
          <w:bCs w:val="0"/>
          <w:color w:val="auto"/>
          <w:sz w:val="32"/>
          <w:szCs w:val="32"/>
          <w:lang w:val="en-US" w:eastAsia="zh-CN"/>
        </w:rPr>
        <w:t>水务领域</w:t>
      </w:r>
      <w:r>
        <w:rPr>
          <w:rFonts w:hint="default" w:ascii="Times New Roman" w:hAnsi="Times New Roman" w:eastAsia="仿宋_GB2312" w:cs="Times New Roman"/>
          <w:b w:val="0"/>
          <w:bCs w:val="0"/>
          <w:color w:val="auto"/>
          <w:sz w:val="32"/>
          <w:szCs w:val="32"/>
          <w:lang w:val="en-US" w:eastAsia="zh-CN"/>
        </w:rPr>
        <w:t>的政策与进展信息。</w:t>
      </w:r>
      <w:r>
        <w:rPr>
          <w:rFonts w:hint="eastAsia" w:eastAsia="仿宋_GB2312" w:cs="Times New Roman"/>
          <w:b w:val="0"/>
          <w:bCs w:val="0"/>
          <w:color w:val="auto"/>
          <w:sz w:val="32"/>
          <w:szCs w:val="32"/>
          <w:lang w:val="en-US" w:eastAsia="zh-CN"/>
        </w:rPr>
        <w:t>三</w:t>
      </w:r>
      <w:r>
        <w:rPr>
          <w:rFonts w:hint="eastAsia" w:ascii="Times New Roman" w:hAnsi="Times New Roman" w:eastAsia="仿宋_GB2312" w:cs="Times New Roman"/>
          <w:b w:val="0"/>
          <w:bCs w:val="0"/>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常态化开展“政府开放日”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围绕“水润未来·共筑绿色梦想”主题，组织</w:t>
      </w:r>
      <w:r>
        <w:rPr>
          <w:rFonts w:hint="eastAsia" w:ascii="Times New Roman" w:hAnsi="Times New Roman" w:eastAsia="仿宋_GB2312" w:cs="Times New Roman"/>
          <w:b w:val="0"/>
          <w:bCs w:val="0"/>
          <w:color w:val="auto"/>
          <w:sz w:val="32"/>
          <w:szCs w:val="32"/>
          <w:lang w:val="en-US" w:eastAsia="zh-CN"/>
        </w:rPr>
        <w:t>企业等公众代表</w:t>
      </w:r>
      <w:r>
        <w:rPr>
          <w:rFonts w:hint="default" w:ascii="Times New Roman" w:hAnsi="Times New Roman" w:eastAsia="仿宋_GB2312" w:cs="Times New Roman"/>
          <w:b w:val="0"/>
          <w:bCs w:val="0"/>
          <w:color w:val="auto"/>
          <w:sz w:val="32"/>
          <w:szCs w:val="32"/>
          <w:lang w:val="en-US" w:eastAsia="zh-CN"/>
        </w:rPr>
        <w:t>走进政府机关、参观服务流程、参与座谈交流，进一步深化企业及群众对于水资源保护、水土保持重要性的认知。</w:t>
      </w:r>
    </w:p>
    <w:p w14:paraId="1B8BF3D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11324F8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市中区城乡水务局共承办人大代表建议1件，政协委员提案2件，其中我单位主办2件：关于大官庄村与其他城中村自来水管道维修的建议、关于加强水体生态修复的建议；协办1件：关于加快枣庄经济开发区配套设施建设的建议。我单位始终将人大代表建议和政协委员提案办理作为倾听民意、改进工作的重要抓手，及时组织各部门进行调研、分析，进行了认真梳理和办理。办复率100%。</w:t>
      </w:r>
    </w:p>
    <w:p w14:paraId="4B1DF92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25531B1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val="0"/>
          <w:bCs w:val="0"/>
          <w:color w:val="auto"/>
          <w:sz w:val="32"/>
          <w:szCs w:val="32"/>
          <w:shd w:val="clear" w:color="auto" w:fill="FFFFFF"/>
          <w:lang w:val="en-US" w:eastAsia="zh-CN"/>
        </w:rPr>
      </w:pPr>
      <w:r>
        <w:rPr>
          <w:rFonts w:hint="eastAsia" w:eastAsia="仿宋_GB2312"/>
          <w:b w:val="0"/>
          <w:bCs w:val="0"/>
          <w:color w:val="auto"/>
          <w:sz w:val="32"/>
          <w:szCs w:val="32"/>
          <w:shd w:val="clear" w:color="auto" w:fill="FFFFFF"/>
          <w:lang w:val="en-US" w:eastAsia="zh-CN"/>
        </w:rPr>
        <w:t>一是丰富政务公开形式。采用表格、图像等多种形式对政策进行多频次多角度的解读，方便公众从不同角度理解政策，及时回应社会关切。</w:t>
      </w:r>
    </w:p>
    <w:p w14:paraId="27CE91E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val="0"/>
          <w:bCs w:val="0"/>
          <w:color w:val="auto"/>
          <w:sz w:val="32"/>
          <w:szCs w:val="32"/>
          <w:shd w:val="clear" w:color="auto" w:fill="FFFFFF"/>
          <w:lang w:val="en-US" w:eastAsia="zh-CN"/>
        </w:rPr>
      </w:pPr>
      <w:r>
        <w:rPr>
          <w:rFonts w:hint="eastAsia" w:eastAsia="仿宋_GB2312"/>
          <w:b w:val="0"/>
          <w:bCs w:val="0"/>
          <w:color w:val="auto"/>
          <w:sz w:val="32"/>
          <w:szCs w:val="32"/>
          <w:shd w:val="clear" w:color="auto" w:fill="FFFFFF"/>
          <w:lang w:val="en-US" w:eastAsia="zh-CN"/>
        </w:rPr>
        <w:t>二是推动公众参与互动。利用政府开放日等形式，以实地参观、座谈交流等方式，围绕水务工作重点和社会关切，引导企业和公众获取政府信息、体验政府服务，持续深化政民互动机制。</w:t>
      </w:r>
    </w:p>
    <w:p w14:paraId="2765B29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eastAsia="仿宋_GB2312"/>
          <w:b w:val="0"/>
          <w:bCs w:val="0"/>
          <w:color w:val="auto"/>
          <w:sz w:val="32"/>
          <w:szCs w:val="32"/>
          <w:shd w:val="clear" w:color="auto" w:fill="FFFFFF"/>
          <w:lang w:val="en-US" w:eastAsia="zh-CN"/>
        </w:rPr>
        <w:t>三是</w:t>
      </w:r>
      <w:r>
        <w:rPr>
          <w:rFonts w:hint="default" w:ascii="Times New Roman" w:hAnsi="Times New Roman" w:eastAsia="仿宋_GB2312" w:cs="Times New Roman"/>
          <w:color w:val="auto"/>
          <w:sz w:val="32"/>
          <w:szCs w:val="32"/>
          <w:lang w:val="en-US" w:eastAsia="zh-CN"/>
        </w:rPr>
        <w:t>严格对标《条例》要求，狠抓工作落实，不断推动政府信息公开工作迈上新台阶，更好地服务经济社会发展大局，提升政府公信力和人民群众满意度。</w:t>
      </w:r>
    </w:p>
    <w:p w14:paraId="3436E22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46FA2DA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w:t>
      </w:r>
      <w:r>
        <w:rPr>
          <w:rFonts w:eastAsia="仿宋_GB2312"/>
          <w:color w:val="auto"/>
          <w:sz w:val="32"/>
          <w:szCs w:val="32"/>
          <w:shd w:val="clear" w:color="auto" w:fill="FFFFFF"/>
          <w:lang w:eastAsia="zh-CN"/>
        </w:rPr>
        <w:t>可与</w:t>
      </w:r>
      <w:r>
        <w:rPr>
          <w:rFonts w:hint="eastAsia" w:eastAsia="仿宋_GB2312"/>
          <w:color w:val="auto"/>
          <w:sz w:val="32"/>
          <w:szCs w:val="32"/>
          <w:shd w:val="clear" w:color="auto" w:fill="FFFFFF"/>
          <w:lang w:val="en-US" w:eastAsia="zh-CN"/>
        </w:rPr>
        <w:t>区城乡水务局</w:t>
      </w:r>
      <w:r>
        <w:rPr>
          <w:rFonts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枣庄市市中区龙庭路43号</w:t>
      </w:r>
      <w:r>
        <w:rPr>
          <w:rFonts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0632-3822399</w:t>
      </w:r>
      <w:r>
        <w:rPr>
          <w:rFonts w:eastAsia="仿宋_GB2312"/>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电子邮箱：szqswjadmin@zz.shandong.cn</w:t>
      </w:r>
      <w:r>
        <w:rPr>
          <w:rFonts w:hint="eastAsia" w:eastAsia="仿宋_GB2312" w:cs="Times New Roman"/>
          <w:i w:val="0"/>
          <w:caps w:val="0"/>
          <w:color w:val="auto"/>
          <w:spacing w:val="0"/>
          <w:kern w:val="0"/>
          <w:sz w:val="32"/>
          <w:szCs w:val="32"/>
          <w:shd w:val="clear" w:color="auto" w:fill="FFFFFF"/>
          <w:lang w:val="en-US" w:eastAsia="zh-CN" w:bidi="ar"/>
        </w:rPr>
        <w:t>）</w:t>
      </w:r>
      <w:r>
        <w:rPr>
          <w:rFonts w:eastAsia="仿宋_GB2312"/>
          <w:color w:val="auto"/>
          <w:sz w:val="32"/>
          <w:szCs w:val="32"/>
          <w:shd w:val="clear" w:color="auto" w:fill="FFFFFF"/>
          <w:lang w:eastAsia="zh-CN"/>
        </w:rPr>
        <w:t>。</w:t>
      </w:r>
    </w:p>
    <w:p w14:paraId="4013A9A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0EEC530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olor w:val="auto"/>
          <w:sz w:val="32"/>
          <w:szCs w:val="32"/>
          <w:shd w:val="clear" w:color="auto" w:fill="FFFFFF"/>
          <w:lang w:val="en-US" w:eastAsia="zh-CN"/>
        </w:rPr>
      </w:pPr>
    </w:p>
    <w:p w14:paraId="5CDF0CE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eastAsia" w:eastAsia="仿宋_GB2312"/>
          <w:color w:val="auto"/>
          <w:sz w:val="32"/>
          <w:szCs w:val="32"/>
          <w:shd w:val="clear" w:color="auto" w:fill="FFFFFF"/>
          <w:lang w:val="en-US" w:eastAsia="zh-CN"/>
        </w:rPr>
      </w:pPr>
      <w:r>
        <w:rPr>
          <w:rFonts w:hint="default" w:eastAsia="仿宋_GB2312"/>
          <w:color w:val="auto"/>
          <w:sz w:val="32"/>
          <w:szCs w:val="32"/>
          <w:shd w:val="clear" w:color="auto" w:fill="FFFFFF"/>
          <w:lang w:val="en-US" w:eastAsia="zh-CN"/>
        </w:rPr>
        <w:t>市中区</w:t>
      </w:r>
      <w:r>
        <w:rPr>
          <w:rFonts w:hint="eastAsia" w:eastAsia="仿宋_GB2312"/>
          <w:color w:val="auto"/>
          <w:sz w:val="32"/>
          <w:szCs w:val="32"/>
          <w:shd w:val="clear" w:color="auto" w:fill="FFFFFF"/>
          <w:lang w:val="en-US" w:eastAsia="zh-CN"/>
        </w:rPr>
        <w:t>城乡水务局</w:t>
      </w:r>
    </w:p>
    <w:p w14:paraId="5D7EEF5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eastAsia="仿宋_GB2312"/>
          <w:color w:val="auto"/>
          <w:sz w:val="32"/>
          <w:szCs w:val="32"/>
          <w:shd w:val="clear" w:color="auto" w:fill="FFFFFF"/>
          <w:lang w:val="en-US" w:eastAsia="zh-CN"/>
        </w:rPr>
      </w:pPr>
      <w:r>
        <w:rPr>
          <w:rFonts w:hint="default" w:eastAsia="仿宋_GB2312"/>
          <w:color w:val="auto"/>
          <w:sz w:val="32"/>
          <w:szCs w:val="32"/>
          <w:shd w:val="clear" w:color="auto" w:fill="FFFFFF"/>
          <w:lang w:val="en-US" w:eastAsia="zh-CN"/>
        </w:rPr>
        <w:t>20</w:t>
      </w:r>
      <w:r>
        <w:rPr>
          <w:rFonts w:hint="eastAsia" w:eastAsia="仿宋_GB2312"/>
          <w:color w:val="auto"/>
          <w:sz w:val="32"/>
          <w:szCs w:val="32"/>
          <w:shd w:val="clear" w:color="auto" w:fill="FFFFFF"/>
          <w:lang w:val="en-US" w:eastAsia="zh-CN"/>
        </w:rPr>
        <w:t>26</w:t>
      </w:r>
      <w:r>
        <w:rPr>
          <w:rFonts w:hint="default" w:eastAsia="仿宋_GB2312"/>
          <w:color w:val="auto"/>
          <w:sz w:val="32"/>
          <w:szCs w:val="32"/>
          <w:shd w:val="clear" w:color="auto" w:fill="FFFFFF"/>
          <w:lang w:val="en-US" w:eastAsia="zh-CN"/>
        </w:rPr>
        <w:t>年1</w:t>
      </w:r>
      <w:r>
        <w:rPr>
          <w:rFonts w:hint="eastAsia" w:eastAsia="仿宋_GB2312"/>
          <w:color w:val="auto"/>
          <w:sz w:val="32"/>
          <w:szCs w:val="32"/>
          <w:shd w:val="clear" w:color="auto" w:fill="FFFFFF"/>
          <w:lang w:val="en-US" w:eastAsia="zh-CN"/>
        </w:rPr>
        <w:t>月20</w:t>
      </w:r>
      <w:r>
        <w:rPr>
          <w:rFonts w:hint="default" w:eastAsia="仿宋_GB2312"/>
          <w:color w:val="auto"/>
          <w:sz w:val="32"/>
          <w:szCs w:val="32"/>
          <w:shd w:val="clear" w:color="auto" w:fill="FFFFFF"/>
          <w:lang w:val="en-US" w:eastAsia="zh-CN"/>
        </w:rPr>
        <w:t>日</w:t>
      </w:r>
    </w:p>
    <w:p w14:paraId="62055FF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1E75C6-5709-4567-BACC-5D896D7955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72DC127-1DF7-4C54-8BCC-C33CC8D6C3E8}"/>
  </w:font>
  <w:font w:name="仿宋_GB2312">
    <w:panose1 w:val="02010609030101010101"/>
    <w:charset w:val="86"/>
    <w:family w:val="modern"/>
    <w:pitch w:val="default"/>
    <w:sig w:usb0="00000001" w:usb1="080E0000" w:usb2="00000000" w:usb3="00000000" w:csb0="00040000" w:csb1="00000000"/>
    <w:embedRegular r:id="rId3" w:fontKey="{AFBE2E85-BBAC-4C98-ACE7-B94FE07837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431C">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CCF7E98">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6CCF7E98">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AF6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101A475B"/>
    <w:rsid w:val="123942E9"/>
    <w:rsid w:val="1AAF71B2"/>
    <w:rsid w:val="1D276D79"/>
    <w:rsid w:val="1DC53412"/>
    <w:rsid w:val="1EDBFEB9"/>
    <w:rsid w:val="1FD24907"/>
    <w:rsid w:val="2007106B"/>
    <w:rsid w:val="227F4F5F"/>
    <w:rsid w:val="24B65C7B"/>
    <w:rsid w:val="26F8D3DB"/>
    <w:rsid w:val="271F6DB2"/>
    <w:rsid w:val="28BE4FD8"/>
    <w:rsid w:val="2A366FA5"/>
    <w:rsid w:val="2A6E4A40"/>
    <w:rsid w:val="2B247393"/>
    <w:rsid w:val="2B520958"/>
    <w:rsid w:val="2B7E7F7A"/>
    <w:rsid w:val="2B7E8F9F"/>
    <w:rsid w:val="31EC03CE"/>
    <w:rsid w:val="34C27E73"/>
    <w:rsid w:val="35DF7EBA"/>
    <w:rsid w:val="372B44B7"/>
    <w:rsid w:val="377EEFFD"/>
    <w:rsid w:val="37DD4F2A"/>
    <w:rsid w:val="3A916DA7"/>
    <w:rsid w:val="3AB50D86"/>
    <w:rsid w:val="3CA63654"/>
    <w:rsid w:val="3E2C62E0"/>
    <w:rsid w:val="3EF75EAA"/>
    <w:rsid w:val="3FB6BD46"/>
    <w:rsid w:val="3FBCD02E"/>
    <w:rsid w:val="3FDF347E"/>
    <w:rsid w:val="3FFF3369"/>
    <w:rsid w:val="424E6C95"/>
    <w:rsid w:val="42962A0C"/>
    <w:rsid w:val="43677CBB"/>
    <w:rsid w:val="4A263FB9"/>
    <w:rsid w:val="4BE16E0F"/>
    <w:rsid w:val="4D6F17B9"/>
    <w:rsid w:val="4F1B009D"/>
    <w:rsid w:val="55279893"/>
    <w:rsid w:val="5A891C07"/>
    <w:rsid w:val="5AE6494C"/>
    <w:rsid w:val="5AF8E8D1"/>
    <w:rsid w:val="5B7F102E"/>
    <w:rsid w:val="5EA95810"/>
    <w:rsid w:val="5FCFB187"/>
    <w:rsid w:val="5FD91106"/>
    <w:rsid w:val="62A02DE5"/>
    <w:rsid w:val="62DF0CAC"/>
    <w:rsid w:val="64490C92"/>
    <w:rsid w:val="65766A16"/>
    <w:rsid w:val="66DC1D5E"/>
    <w:rsid w:val="67F6464F"/>
    <w:rsid w:val="68352BDC"/>
    <w:rsid w:val="6B3F5F3D"/>
    <w:rsid w:val="6BFF759D"/>
    <w:rsid w:val="6DFF61DB"/>
    <w:rsid w:val="6EC52406"/>
    <w:rsid w:val="6FEF482A"/>
    <w:rsid w:val="716632E1"/>
    <w:rsid w:val="71742F46"/>
    <w:rsid w:val="7176E761"/>
    <w:rsid w:val="72B50AB6"/>
    <w:rsid w:val="72BB477E"/>
    <w:rsid w:val="743334DA"/>
    <w:rsid w:val="754C48A1"/>
    <w:rsid w:val="775DBFD1"/>
    <w:rsid w:val="777DF5DF"/>
    <w:rsid w:val="77E88C1B"/>
    <w:rsid w:val="77FB4F67"/>
    <w:rsid w:val="79390A27"/>
    <w:rsid w:val="7B9F2FF3"/>
    <w:rsid w:val="7BBD530D"/>
    <w:rsid w:val="7BEDABB7"/>
    <w:rsid w:val="7BFF9C87"/>
    <w:rsid w:val="7D726BF8"/>
    <w:rsid w:val="7DAEAA6D"/>
    <w:rsid w:val="7EBB1BF6"/>
    <w:rsid w:val="7EFB5AAA"/>
    <w:rsid w:val="7F2D68BD"/>
    <w:rsid w:val="7F455801"/>
    <w:rsid w:val="7F75BBAD"/>
    <w:rsid w:val="7F7F2FA2"/>
    <w:rsid w:val="7FAFA29E"/>
    <w:rsid w:val="9D2D34BF"/>
    <w:rsid w:val="9EFBB19C"/>
    <w:rsid w:val="9F4C210F"/>
    <w:rsid w:val="B79F2541"/>
    <w:rsid w:val="B7BBF533"/>
    <w:rsid w:val="BA7BE864"/>
    <w:rsid w:val="BCBF3278"/>
    <w:rsid w:val="BCE3EC5D"/>
    <w:rsid w:val="BDDFEDEB"/>
    <w:rsid w:val="BF07A3BF"/>
    <w:rsid w:val="BFFFF0D1"/>
    <w:rsid w:val="C9DC2960"/>
    <w:rsid w:val="DAD9277E"/>
    <w:rsid w:val="E75F23D6"/>
    <w:rsid w:val="E9AF3724"/>
    <w:rsid w:val="EAFF4238"/>
    <w:rsid w:val="EEFEC17C"/>
    <w:rsid w:val="F1FD411D"/>
    <w:rsid w:val="F3965563"/>
    <w:rsid w:val="F3DA399E"/>
    <w:rsid w:val="F79F03AD"/>
    <w:rsid w:val="F7DFB921"/>
    <w:rsid w:val="F7EE56FF"/>
    <w:rsid w:val="F7EFA08D"/>
    <w:rsid w:val="F7FF6A13"/>
    <w:rsid w:val="F7FFBF2B"/>
    <w:rsid w:val="F99B1CF7"/>
    <w:rsid w:val="F9DDCB1F"/>
    <w:rsid w:val="FAFD3820"/>
    <w:rsid w:val="FBB30FBB"/>
    <w:rsid w:val="FBFF020A"/>
    <w:rsid w:val="FD0739DD"/>
    <w:rsid w:val="FDEF0238"/>
    <w:rsid w:val="FEDF3667"/>
    <w:rsid w:val="FF4F5281"/>
    <w:rsid w:val="FF8CFFA1"/>
    <w:rsid w:val="FFBF020B"/>
    <w:rsid w:val="FFD7C0E3"/>
    <w:rsid w:val="FFDBE5FF"/>
    <w:rsid w:val="FFEC50EE"/>
    <w:rsid w:val="FFFB0F88"/>
    <w:rsid w:val="FFFE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7e595d46-9144-45b3-906c-94ac72d5aa06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27B463A1</paraID>
      <start>18</start>
      <end>21</end>
      <status>unmodified</status>
      <modifiedWord/>
      <trackRevisions>false</trackRevisions>
    </reviewItem>
    <reviewItem>
      <errorID>5b6448fe-2057-455e-b8ac-4273ebc78271</errorID>
      <errorWord>《</errorWord>
      <group>L1_Punc</group>
      <groupName>标点问题</groupName>
      <ability>L2_Punc</ability>
      <abilityName>标点符号检查</abilityName>
      <candidateList/>
      <explain>同一形式括号套用。</explain>
      <paraID>27B463A1</paraID>
      <start>43</start>
      <end>44</end>
      <status>unmodified</status>
      <modifiedWord/>
      <trackRevisions>false</trackRevisions>
    </reviewItem>
    <reviewItem>
      <errorID>bf9f8b57-ece9-402b-a998-1eb092eadf44</errorID>
      <errorWord>》</errorWord>
      <group>L1_Punc</group>
      <groupName>标点问题</groupName>
      <ability>L2_Punc</ability>
      <abilityName>标点符号检查</abilityName>
      <candidateList/>
      <explain>同一形式括号套用。</explain>
      <paraID>27B463A1</paraID>
      <start>65</start>
      <end>66</end>
      <status>unmodified</status>
      <modifiedWord/>
      <trackRevisions>false</trackRevisions>
    </reviewItem>
    <reviewItem>
      <errorID>1c6b7334-066e-46a7-a977-ba8a0912d210</errorID>
      <errorWord>法律、法规</errorWord>
      <group>L1_Word</group>
      <groupName>字词问题</groupName>
      <ability>L2_Typo</ability>
      <abilityName>字词错误</abilityName>
      <candidateList>
        <item>法律法规</item>
      </candidateList>
      <explain/>
      <paraID>6351F194</paraID>
      <start>53</start>
      <end>58</end>
      <status>unmodified</status>
      <modifiedWord/>
      <trackRevisions>false</trackRevisions>
    </reviewItem>
    <reviewItem>
      <errorID>e3254e6e-25ef-4d20-959c-c26013277b36</errorID>
      <errorWord>处理</errorWord>
      <group>L1_Word</group>
      <groupName>字词问题</groupName>
      <ability>L2_Typo</ability>
      <abilityName>字词错误</abilityName>
      <candidateList>
        <item>受理</item>
      </candidateList>
      <explain/>
      <paraID>5A2445C4</paraID>
      <start>22</start>
      <end>24</end>
      <status>unmodified</status>
      <modifiedWord/>
      <trackRevisions>false</trackRevisions>
    </reviewItem>
    <reviewItem>
      <errorID>499a5651-122b-4414-9f8f-d1eae89feb34</errorID>
      <errorWord>处理</errorWord>
      <group>L1_Word</group>
      <groupName>字词问题</groupName>
      <ability>L2_Typo</ability>
      <abilityName>字词错误</abilityName>
      <candidateList>
        <item>受理</item>
      </candidateList>
      <explain/>
      <paraID>3C342B22</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59083-f316-4cc3-b504-4e70d730a254}">
  <ds:schemaRefs/>
</ds:datastoreItem>
</file>

<file path=docProps/app.xml><?xml version="1.0" encoding="utf-8"?>
<Properties xmlns="http://schemas.openxmlformats.org/officeDocument/2006/extended-properties" xmlns:vt="http://schemas.openxmlformats.org/officeDocument/2006/docPropsVTypes">
  <Template>Normal</Template>
  <Pages>8</Pages>
  <Words>2064</Words>
  <Characters>2185</Characters>
  <Lines>53</Lines>
  <Paragraphs>15</Paragraphs>
  <TotalTime>5</TotalTime>
  <ScaleCrop>false</ScaleCrop>
  <LinksUpToDate>false</LinksUpToDate>
  <CharactersWithSpaces>2207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2021-11-03T17:59:00Z</dcterms:created>
  <dc:creator>p</dc:creator>
  <cp:lastModifiedBy>WPS_1696590446</cp:lastModifiedBy>
  <cp:lastPrinted>2021-11-03T18:00:00Z</cp:lastPrinted>
  <dcterms:modified xsi:type="dcterms:W3CDTF">2026-01-21T02:41:55Z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