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6FE1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市中区</w:t>
      </w: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齐村镇人民政府</w:t>
      </w:r>
    </w:p>
    <w:p w14:paraId="33E6FFD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年政府信息公开工作年度报告</w:t>
      </w:r>
    </w:p>
    <w:p w14:paraId="3BF931D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340C14D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根据《中华人民共和国政府信息公开条例》《国务院办公厅政府信息与</w:t>
      </w:r>
      <w:bookmarkStart w:id="9" w:name="_GoBack"/>
      <w:bookmarkEnd w:id="9"/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政务公开办公室关于印发〈中华人民共和国政府信息公开工作年度报告格式〉的通知》（国办公开办函〔20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号）和省、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有关工作要求，编制本报告并向社会公开。本年度报告电子版可从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市中区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人民政府门户网站（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http://www.zzszq.gov.cn/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）查阅或下载。本报告所列数据的统计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期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限自202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年1月1日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起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至202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年12月31日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止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。如对本报告有疑问，可与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齐村镇人民政府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枣庄市市中区齐村镇卓山路1号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，邮编：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277100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，电话：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0632-8023101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电子邮箱：qcxx3533112@163.com）。</w:t>
      </w:r>
    </w:p>
    <w:p w14:paraId="4418267E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总体情况</w:t>
      </w:r>
    </w:p>
    <w:p w14:paraId="3CB2DCC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齐村镇人民政府认真贯彻落实《中华人民共和国政府信息公开条例》，着力健全完善信息公开工作体系，强化信息公开载体建设，结合我镇工作实际，进一步健全组织机构，完善信息公开机制，强化各项工作措施，在扩大公众知情权、满足公众信息需求方面取得了积极成效。</w:t>
      </w:r>
    </w:p>
    <w:p w14:paraId="694FCCA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主动公开</w:t>
      </w:r>
    </w:p>
    <w:p w14:paraId="750F6E2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齐村镇人民政府严格按照“公开为原则，不公开为例外”的总体要求，扎实做好各类信息的公开工作。累计主动公开信息791条，其中，央级媒体55条，省级媒体54条，市级媒体18条，区级媒体61条，区政府门户网站公开64条，通过其他渠道公开539条。</w:t>
      </w:r>
    </w:p>
    <w:p w14:paraId="762B80C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依申请公开</w:t>
      </w:r>
    </w:p>
    <w:p w14:paraId="230D1D3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齐村镇人民政府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做好依申请公开工作，依法保障民众的知情权、参与权、表达权、监督权。202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年共受理政府信息公开申请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件，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涉及农业农村等领域。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其中予以公开申请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件，部分公开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件。</w:t>
      </w:r>
    </w:p>
    <w:p w14:paraId="7CE6E38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本年度依申请公开政府信息未收取任何费用。</w:t>
      </w:r>
    </w:p>
    <w:p w14:paraId="6FCBD89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因政府信息公开被申请行政复议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件。</w:t>
      </w:r>
    </w:p>
    <w:p w14:paraId="6D70135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政府信息管理</w:t>
      </w:r>
    </w:p>
    <w:p w14:paraId="2B5AE78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一是优化信息公开管理流程。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构建政府信息公开全流程闭环管理机制，明确专人专职负责信息公开的传递、对接等全链条工作，确保流程衔接顺畅、责任落实到位。</w:t>
      </w:r>
    </w:p>
    <w:p w14:paraId="5DA7950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 二是强化公开信息保密</w:t>
      </w:r>
      <w:r>
        <w:rPr>
          <w:rFonts w:hint="eastAsia" w:eastAsia="宋体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审查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严格遵照《中华人民共和国保守国家秘密法》《中华人民共和国政府信息公开条例》等法律法规要求，坚守“先审查、后公开”核心原则，对拟公开政府信息开展全方位、多层次保密审查，坚决杜绝涉密信息外泄，切实保障公开信息的合规性、安全性。</w:t>
      </w:r>
    </w:p>
    <w:p w14:paraId="5867797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 三是持续健全公开制度体系。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2025年，全面践行“以公开为常态、不公开为例外”的工作要求，主动、及时、规范、精准地公开法定应公开的政府信息，切实做到应公开尽公开，持续推动政府信息公开工作向常态化、规范化、标准化纵深发展，不断提升公开工作质效。</w:t>
      </w:r>
    </w:p>
    <w:p w14:paraId="338F048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（四）政府信息公开平台建设</w:t>
      </w:r>
    </w:p>
    <w:p w14:paraId="08DA464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依托“枣庄市市中区人民政府网站”“政府信息公开专栏”“市中云报”等平台发布信息，推动政务公开信息向不同群体精准推送，提升群众获取政府信息的便利度和幸福感。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　　</w:t>
      </w:r>
    </w:p>
    <w:p w14:paraId="3BA2840A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（五）监督保障</w:t>
      </w:r>
    </w:p>
    <w:p w14:paraId="38934D08">
      <w:pPr>
        <w:pStyle w:val="9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 w:bidi="en-US"/>
          <w14:textFill>
            <w14:solidFill>
              <w14:schemeClr w14:val="tx1"/>
            </w14:solidFill>
          </w14:textFill>
        </w:rPr>
        <w:t>根据领导调整情况，及时修改政务公开领导小组成员名单，安排专员负责政务公开工作。</w:t>
      </w:r>
    </w:p>
    <w:p w14:paraId="528DAECD">
      <w:pPr>
        <w:pStyle w:val="9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主动公开政府信息情况</w:t>
      </w:r>
    </w:p>
    <w:tbl>
      <w:tblPr>
        <w:tblStyle w:val="4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331DA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317DBD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2124C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99851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F2E75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29F18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57502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 w14:paraId="73F4A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E55A9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07188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55859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031B7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8108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9B1D1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1FA00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058D0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07CF5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FD62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7B93061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24AEE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29D62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101B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16DC7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D149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111D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EB22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273776D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4AC9C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CA71E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A476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 w14:paraId="774D0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644A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4413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AA12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03644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65D3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E62A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46FA320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505CF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11672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FECC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 w14:paraId="5D986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8A3ED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9DDD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46A42CA5">
      <w:pPr>
        <w:pStyle w:val="9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9200104">
      <w:pPr>
        <w:pStyle w:val="9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收到和处理政府信息公开申请情况</w:t>
      </w:r>
    </w:p>
    <w:tbl>
      <w:tblPr>
        <w:tblStyle w:val="4"/>
        <w:tblW w:w="93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85"/>
        <w:gridCol w:w="2511"/>
        <w:gridCol w:w="752"/>
        <w:gridCol w:w="691"/>
        <w:gridCol w:w="691"/>
        <w:gridCol w:w="895"/>
        <w:gridCol w:w="724"/>
        <w:gridCol w:w="489"/>
        <w:gridCol w:w="492"/>
      </w:tblGrid>
      <w:tr w14:paraId="1425D4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tblHeader/>
          <w:jc w:val="center"/>
        </w:trPr>
        <w:tc>
          <w:tcPr>
            <w:tcW w:w="2511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C3EF7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752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8023A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78544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51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A976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6B4D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489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6DE6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49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199BF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437694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51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155E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C748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A14C5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D0A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6D71A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DCE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C2EF7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49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4A19B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C41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11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B478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一、</w:t>
            </w:r>
            <w:bookmarkStart w:id="0" w:name="_Hlk66973412"/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本年新收政府信息公开申请数量</w:t>
            </w:r>
            <w:bookmarkEnd w:id="0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27989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0F1C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1512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38C0E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03A39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71367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D2C6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51C93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11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065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52F80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874D5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8FE1E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4CF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F1B14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0052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F5A27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D0357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5E7D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251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261C3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3687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7459F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8B0DE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F04B2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033E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76223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CAC06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B8557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D89F9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BDF31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（二）部分公开（</w:t>
            </w:r>
            <w:bookmarkStart w:id="1" w:name="_Hlk66973981"/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区分处理的，只计这一情形，不计其他情形</w:t>
            </w:r>
            <w:bookmarkEnd w:id="1"/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7B950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9C2FE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480DF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CAE2D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87D3D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97749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D584E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366771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6A4F0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45E3F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5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9CF47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F5A5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32E9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61920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BD19C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A8106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DC93C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882DE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B58D4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62BF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DC6B9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58C6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bookmarkStart w:id="2" w:name="_Hlk66974104"/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其他法律行政法规禁止公开</w:t>
            </w:r>
            <w:bookmarkEnd w:id="2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E0613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C6715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0B43B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4FFF0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5C6FF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0A63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99988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472ED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27617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622ED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6D928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D63FE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F7EC9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A9731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FEB2F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24EE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FD6B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69C5B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12821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D19C3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E035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910FE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4.</w:t>
            </w:r>
            <w:bookmarkStart w:id="3" w:name="_Hlk66974290"/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保护第三方合法权益</w:t>
            </w:r>
            <w:bookmarkEnd w:id="3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89D6E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C5E62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59DAF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085BC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584ED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08203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38AE9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52F4C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EB88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E4C9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9A5C1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611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5DD1B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098A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B8CB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1316A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177E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55C6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89CF4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76B98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4A11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79847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6.</w:t>
            </w:r>
            <w:bookmarkStart w:id="4" w:name="_Hlk66974555"/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属于四类过程性信息</w:t>
            </w:r>
            <w:bookmarkEnd w:id="4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F9A5E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6435B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C150D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51BC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CF72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97E0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73B58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F45CF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E2CE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3F8D3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C7870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51A4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555B6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BCA2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8F7A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7DC0B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F2583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93D39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1CB27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6EEA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21B64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DB5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8.</w:t>
            </w:r>
            <w:bookmarkStart w:id="5" w:name="_Hlk66975211"/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属于行政查询事项</w:t>
            </w:r>
            <w:bookmarkEnd w:id="5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0F24D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06E6A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BEFFA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95E6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1700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F63EB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C0428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B99AB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EAA40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AD76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5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F8E1C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76CD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08B3D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E34A9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63D80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3B435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9403F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30B0C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9E6EC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E148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C7BA2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046B6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bookmarkStart w:id="6" w:name="_Hlk66975392"/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没有现成信息需要另行制作</w:t>
            </w:r>
            <w:bookmarkEnd w:id="6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CF2A0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885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EF5C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E84EF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E8160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51F5B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B77C5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2EF5E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63A7F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96442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6189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3.</w:t>
            </w:r>
            <w:bookmarkStart w:id="7" w:name="_Hlk66975466"/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补正后申请内容仍不明确</w:t>
            </w:r>
            <w:bookmarkEnd w:id="7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86704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FCFF9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72F5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66AF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89AD4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A858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2013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9B9E9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498B4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CCC52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5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6659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bookmarkStart w:id="8" w:name="_Hlk66975537"/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信访举报投诉类申请</w:t>
            </w:r>
            <w:bookmarkEnd w:id="8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69153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DB99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5D30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4D9C8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8EE5F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FA726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0530D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54642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F72E3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CB78B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E1CA5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36A3D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3A5B3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C118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E4FB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B5067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C583A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15B35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1A374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6B5CC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F585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405A2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DE2FD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8E19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8D5A3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B8D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2229A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4A5F7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AC211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13A7F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F004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9B8B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7662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D0F17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A3DF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CCD3A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3179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19F08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76281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59699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EC8E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6386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D9366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0636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5.要求行政机关确认或重新</w:t>
            </w:r>
          </w:p>
          <w:p w14:paraId="7CD3B42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出具已获取信息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59057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BB83E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7D43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B0D18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3120D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F4DED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C881E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3CAC5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EE39D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2D32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786D61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5454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7969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37D7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64A46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32418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C1BDE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1E77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D1940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559E6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2EAB1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14:paraId="67046E8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9D38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42A6D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65F97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4F9DA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E7478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5236A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08B1D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9B3CF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09CC1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0C5E7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shd w:val="clear" w:color="auto" w:fill="auto"/>
            <w:vAlign w:val="center"/>
          </w:tcPr>
          <w:p w14:paraId="0275F3B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2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52825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C3588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F5127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57D38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91D51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FB4F8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416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425FD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343C3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0E1F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96A6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ED5A1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72752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AB47F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9981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3D76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8DCA8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C2FFE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2511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AFE1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 w:bidi="ar-SA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8168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9782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4F8D5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A229A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50DC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D8E3E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9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474FE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175E78E0">
      <w:pPr>
        <w:pStyle w:val="9"/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政府信息公开行政复议、行政诉讼情况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6"/>
        <w:gridCol w:w="588"/>
        <w:gridCol w:w="588"/>
        <w:gridCol w:w="588"/>
        <w:gridCol w:w="421"/>
        <w:gridCol w:w="588"/>
        <w:gridCol w:w="588"/>
        <w:gridCol w:w="588"/>
        <w:gridCol w:w="588"/>
        <w:gridCol w:w="425"/>
        <w:gridCol w:w="588"/>
        <w:gridCol w:w="588"/>
        <w:gridCol w:w="588"/>
        <w:gridCol w:w="588"/>
        <w:gridCol w:w="426"/>
      </w:tblGrid>
      <w:tr w14:paraId="214F59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EAC204">
            <w:pPr>
              <w:pStyle w:val="10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6B81D6">
            <w:pPr>
              <w:pStyle w:val="10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1A196A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52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4E2210">
            <w:pPr>
              <w:pStyle w:val="10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 维持</w:t>
            </w:r>
          </w:p>
        </w:tc>
        <w:tc>
          <w:tcPr>
            <w:tcW w:w="353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E8171F">
            <w:pPr>
              <w:pStyle w:val="10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 纠正</w:t>
            </w:r>
          </w:p>
        </w:tc>
        <w:tc>
          <w:tcPr>
            <w:tcW w:w="353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A8A63F">
            <w:pPr>
              <w:pStyle w:val="10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 结果</w:t>
            </w:r>
          </w:p>
        </w:tc>
        <w:tc>
          <w:tcPr>
            <w:tcW w:w="353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C7667A">
            <w:pPr>
              <w:pStyle w:val="10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 审结</w:t>
            </w:r>
          </w:p>
        </w:tc>
        <w:tc>
          <w:tcPr>
            <w:tcW w:w="252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 w14:paraId="0F3263F8"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C9B4AA">
            <w:pPr>
              <w:pStyle w:val="10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B150F4">
            <w:pPr>
              <w:pStyle w:val="10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16BCD7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52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F1E7B8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FFFFB8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D8728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9C090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" w:type="pct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 w14:paraId="47FEF8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D5B93F">
            <w:pPr>
              <w:pStyle w:val="10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 维持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748739">
            <w:pPr>
              <w:pStyle w:val="10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 纠正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749CBB">
            <w:pPr>
              <w:pStyle w:val="10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 结果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D3CEE3">
            <w:pPr>
              <w:pStyle w:val="10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 审结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</w:tcPr>
          <w:p w14:paraId="6665B89E"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F11BF5">
            <w:pPr>
              <w:pStyle w:val="10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 维持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3DB13E">
            <w:pPr>
              <w:pStyle w:val="10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结果 纠正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5FB22A">
            <w:pPr>
              <w:pStyle w:val="10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 结果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EBF104">
            <w:pPr>
              <w:pStyle w:val="10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尚未 审结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extDirection w:val="tbRlV"/>
          </w:tcPr>
          <w:p w14:paraId="3E35A631">
            <w:pPr>
              <w:pStyle w:val="8"/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6BE76E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7B106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BA3697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574D7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787BA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8FE72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733A22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A1132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22A44A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F95FB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3FDB64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EE741D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02D29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5343D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36800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FC130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179B99F5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存在的主要问题及改进情况</w:t>
      </w:r>
    </w:p>
    <w:p w14:paraId="01320787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（一）2024年存在问题整改情况</w:t>
      </w:r>
    </w:p>
    <w:p w14:paraId="2165566B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扩展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公开内容覆盖面，充分覆盖各类关键领域，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扩大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传播效果。</w:t>
      </w:r>
    </w:p>
    <w:p w14:paraId="7759E717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（二）2025年存在问题</w:t>
      </w:r>
    </w:p>
    <w:p w14:paraId="2795A47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政策解读载体与手段较为单一，未采用图表可视化、视频讲解等多元形式，未能有效提升政府信息公开工作整体质效。</w:t>
      </w:r>
    </w:p>
    <w:p w14:paraId="2A66BDCC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（三）改进措施</w:t>
      </w:r>
    </w:p>
    <w:p w14:paraId="28DCFFB8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积极推动解读形式创新，系统采用图文、动画、短视频等可视化方式呈现政策内容；拓展政务新媒体矩阵传播渠道，实现精准投放与广泛覆盖；同步完善配套工作机制与能力培训，切实提升政策传达效果与社会认知度。</w:t>
      </w:r>
    </w:p>
    <w:p w14:paraId="610CF7B0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eastAsia="zh-CN" w:bidi="zh-TW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val="en-US" w:eastAsia="zh-CN" w:bidi="zh-TW"/>
          <w14:textFill>
            <w14:solidFill>
              <w14:schemeClr w14:val="tx1"/>
            </w14:solidFill>
          </w14:textFill>
        </w:rPr>
        <w:t>六、</w:t>
      </w:r>
      <w:r>
        <w:rPr>
          <w:rFonts w:hint="default" w:ascii="Times New Roman" w:hAnsi="Times New Roman" w:eastAsia="黑体" w:cs="Times New Roman"/>
          <w:b/>
          <w:bCs/>
          <w:color w:val="000000" w:themeColor="text1"/>
          <w:sz w:val="32"/>
          <w:szCs w:val="32"/>
          <w:lang w:eastAsia="zh-CN" w:bidi="zh-TW"/>
          <w14:textFill>
            <w14:solidFill>
              <w14:schemeClr w14:val="tx1"/>
            </w14:solidFill>
          </w14:textFill>
        </w:rPr>
        <w:t>其他需要报告的事项</w:t>
      </w:r>
    </w:p>
    <w:p w14:paraId="08F57048">
      <w:pPr>
        <w:pStyle w:val="3"/>
        <w:keepNext w:val="0"/>
        <w:keepLines w:val="0"/>
        <w:pageBreakBefore w:val="0"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outlineLvl w:val="3"/>
        <w:rPr>
          <w:rFonts w:hint="default" w:ascii="Times New Roman" w:hAnsi="Times New Roman" w:eastAsia="楷体_GB2312" w:cs="Times New Roman"/>
          <w:b/>
          <w:bCs/>
          <w:color w:val="000000" w:themeColor="text1"/>
          <w:kern w:val="0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0"/>
          <w:sz w:val="32"/>
          <w:szCs w:val="32"/>
          <w:lang w:val="en-US" w:eastAsia="zh-CN" w:bidi="en-US"/>
          <w14:textFill>
            <w14:solidFill>
              <w14:schemeClr w14:val="tx1"/>
            </w14:solidFill>
          </w14:textFill>
        </w:rPr>
        <w:t>（一）收取信息处理费的情况</w:t>
      </w:r>
    </w:p>
    <w:p w14:paraId="57A9E788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本年度依申请公开政府信息未收取任何费用。</w:t>
      </w:r>
    </w:p>
    <w:p w14:paraId="70A745A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（二）落实上级年度政务公开工作要点情况</w:t>
      </w:r>
    </w:p>
    <w:p w14:paraId="5C11FE7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微软雅黑" w:cs="Times New Roman"/>
          <w:b/>
          <w:bCs/>
          <w:i w:val="0"/>
          <w:iCs w:val="0"/>
          <w:caps w:val="0"/>
          <w:color w:val="000000" w:themeColor="text1"/>
          <w:spacing w:val="0"/>
          <w:sz w:val="22"/>
          <w:szCs w:val="22"/>
          <w:shd w:val="clear" w:fill="FFFFFF"/>
          <w14:textFill>
            <w14:solidFill>
              <w14:schemeClr w14:val="tx1"/>
            </w14:solidFill>
          </w14:textFill>
        </w:rPr>
        <w:t>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 实时公示重点工作推进落实及建议提案办理结果，健全舆情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收集报送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机制，快速回应处置热点与政务舆情，重大舆情及时呈报镇主要领导。</w:t>
      </w:r>
    </w:p>
    <w:p w14:paraId="1EE6C58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（三）人大代表建议和政协委员提案办理情况</w:t>
      </w:r>
    </w:p>
    <w:p w14:paraId="04E826D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2025年，齐村镇人民政府共承办区人大代表建议5件，其中主办0件、协办5件。截至目前，5件区人大代表建议均已办理完毕，答复率达100%，并进行了主动公开。</w:t>
      </w:r>
    </w:p>
    <w:p w14:paraId="4DE6270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2025年，齐村镇人民政府共办理市、区政协提案30件。截至目前，30件市、区政协提案均办理完毕，办理满意率达100%。</w:t>
      </w:r>
    </w:p>
    <w:p w14:paraId="58BBCC0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（四）本行政机关年度政务公开工作创新情况</w:t>
      </w:r>
    </w:p>
    <w:p w14:paraId="7B61C96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充分利用现代科技手段，加强电子政务建设，结合传统宣传方式，构建多元化的政务公开体系，不断提升政务公开工作水平。</w:t>
      </w:r>
    </w:p>
    <w:p w14:paraId="358939B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（五）其他需要报告事项</w:t>
      </w:r>
    </w:p>
    <w:p w14:paraId="5FD1B879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本报告所列数据的统计时限自202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年1月1日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起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至202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年12月31日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止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。如对本报告有疑问，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可与齐村镇人民政府联系（地址：枣庄市市中区齐村镇卓山路1号，邮编：277100，电话：0632-8023101，电子邮箱：qcxx3533112@163.com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 。</w:t>
      </w:r>
    </w:p>
    <w:p w14:paraId="5A680FDE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38E33E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6824CFF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818708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righ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齐村镇人民政府</w:t>
      </w:r>
    </w:p>
    <w:p w14:paraId="15AD456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right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2026年1月9日</w:t>
      </w:r>
    </w:p>
    <w:p w14:paraId="75B73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C5F5B2-1A24-4DA2-8013-E2B4AFEBDF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7751D72-3293-4636-898B-AA13A28BA02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BE6A9DF-B8A6-41E7-8A45-E03D23027F56}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  <w:embedRegular r:id="rId4" w:fontKey="{4C8E53E2-993F-4C7C-BD8A-36EF99C0188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29241635-54C8-4DEC-99E3-DC2CA65DD66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5EA1D">
    <w:pPr>
      <w:spacing w:line="240" w:lineRule="auto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0B57D50E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InwhHuUBAADHAwAA&#10;DgAAAAAAAAABACAAAAAe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57D50E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8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7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1C953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OWM3NmFjMTQzMWMyYTVhZTMwMzI2MTIzZTUwYmIifQ=="/>
  </w:docVars>
  <w:rsids>
    <w:rsidRoot w:val="00112B69"/>
    <w:rsid w:val="00081823"/>
    <w:rsid w:val="00112B69"/>
    <w:rsid w:val="005A70FF"/>
    <w:rsid w:val="00B03096"/>
    <w:rsid w:val="00F0539A"/>
    <w:rsid w:val="021D046B"/>
    <w:rsid w:val="025D1D46"/>
    <w:rsid w:val="025E0CC2"/>
    <w:rsid w:val="02DE7C55"/>
    <w:rsid w:val="08560D28"/>
    <w:rsid w:val="085D4644"/>
    <w:rsid w:val="088C6DAF"/>
    <w:rsid w:val="0A3E1141"/>
    <w:rsid w:val="0A956CC5"/>
    <w:rsid w:val="0B8F2AB2"/>
    <w:rsid w:val="0D426B65"/>
    <w:rsid w:val="0DB7343A"/>
    <w:rsid w:val="101A475B"/>
    <w:rsid w:val="12F86B39"/>
    <w:rsid w:val="16EE4907"/>
    <w:rsid w:val="1AAF71B2"/>
    <w:rsid w:val="1B0D2DBB"/>
    <w:rsid w:val="1C6E1C1A"/>
    <w:rsid w:val="1D276D79"/>
    <w:rsid w:val="1D5D6972"/>
    <w:rsid w:val="1D952BC4"/>
    <w:rsid w:val="1DC53412"/>
    <w:rsid w:val="1FD24907"/>
    <w:rsid w:val="2007106B"/>
    <w:rsid w:val="227F4F5F"/>
    <w:rsid w:val="24B65C7B"/>
    <w:rsid w:val="271F6DB2"/>
    <w:rsid w:val="28BE4FD8"/>
    <w:rsid w:val="2A366FA5"/>
    <w:rsid w:val="2A3B7EF8"/>
    <w:rsid w:val="2A6E4A40"/>
    <w:rsid w:val="2B247393"/>
    <w:rsid w:val="2B314951"/>
    <w:rsid w:val="2B3B0DF3"/>
    <w:rsid w:val="2B7E7F7A"/>
    <w:rsid w:val="2FF3270A"/>
    <w:rsid w:val="30F87D91"/>
    <w:rsid w:val="33240E2C"/>
    <w:rsid w:val="34C27E73"/>
    <w:rsid w:val="35A841FC"/>
    <w:rsid w:val="372B44B7"/>
    <w:rsid w:val="37DD4F2A"/>
    <w:rsid w:val="3CA63654"/>
    <w:rsid w:val="3FF0539D"/>
    <w:rsid w:val="424E6C95"/>
    <w:rsid w:val="42962A0C"/>
    <w:rsid w:val="43677CBB"/>
    <w:rsid w:val="44AB0603"/>
    <w:rsid w:val="4A263FB9"/>
    <w:rsid w:val="4BE16E0F"/>
    <w:rsid w:val="4F1B009D"/>
    <w:rsid w:val="50216394"/>
    <w:rsid w:val="52D733C8"/>
    <w:rsid w:val="54F46459"/>
    <w:rsid w:val="55897649"/>
    <w:rsid w:val="59376036"/>
    <w:rsid w:val="59D14A79"/>
    <w:rsid w:val="59E455A3"/>
    <w:rsid w:val="5A636965"/>
    <w:rsid w:val="5A891C07"/>
    <w:rsid w:val="5AE6494C"/>
    <w:rsid w:val="5C2C472A"/>
    <w:rsid w:val="5EA95810"/>
    <w:rsid w:val="62A02DE5"/>
    <w:rsid w:val="62DF0CAC"/>
    <w:rsid w:val="64490C92"/>
    <w:rsid w:val="64EB5B38"/>
    <w:rsid w:val="6A1F422A"/>
    <w:rsid w:val="6D540AFC"/>
    <w:rsid w:val="6EC52406"/>
    <w:rsid w:val="6F0831D7"/>
    <w:rsid w:val="702174F6"/>
    <w:rsid w:val="716632E1"/>
    <w:rsid w:val="71742F46"/>
    <w:rsid w:val="71783AEB"/>
    <w:rsid w:val="72BB477E"/>
    <w:rsid w:val="7370719A"/>
    <w:rsid w:val="74032D39"/>
    <w:rsid w:val="743334DA"/>
    <w:rsid w:val="754C48A1"/>
    <w:rsid w:val="79390A27"/>
    <w:rsid w:val="7A9814B1"/>
    <w:rsid w:val="7AF608CD"/>
    <w:rsid w:val="7CFD36E8"/>
    <w:rsid w:val="7D726BF8"/>
    <w:rsid w:val="7F2D68BD"/>
    <w:rsid w:val="7F857B2A"/>
    <w:rsid w:val="7FA8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Header or footer|1"/>
    <w:basedOn w:val="1"/>
    <w:qFormat/>
    <w:uiPriority w:val="0"/>
    <w:rPr>
      <w:sz w:val="26"/>
      <w:szCs w:val="26"/>
      <w:lang w:val="zh-TW" w:eastAsia="zh-TW" w:bidi="zh-TW"/>
    </w:rPr>
  </w:style>
  <w:style w:type="paragraph" w:customStyle="1" w:styleId="8">
    <w:name w:val="Other|2"/>
    <w:basedOn w:val="1"/>
    <w:qFormat/>
    <w:uiPriority w:val="0"/>
    <w:pPr>
      <w:spacing w:before="90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spacing w:line="44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39084648-fa0d-4140-b19a-9543f06c8f0d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3786D613</paraID>
      <start>22</start>
      <end>24</end>
      <status>unmodified</status>
      <modifiedWord/>
      <trackRevisions>false</trackRevisions>
    </reviewItem>
    <reviewItem>
      <errorID>414e0acd-f835-4dea-9d45-ad5910eb9884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67046E83</paraID>
      <start>26</start>
      <end>28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66bccb-a288-4c4f-86ac-b7e0248c3d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1294</Words>
  <Characters>1389</Characters>
  <Lines>53</Lines>
  <Paragraphs>15</Paragraphs>
  <TotalTime>7</TotalTime>
  <ScaleCrop>false</ScaleCrop>
  <LinksUpToDate>false</LinksUpToDate>
  <CharactersWithSpaces>1393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2021-11-02T01:59:00Z</dcterms:created>
  <dc:creator>p</dc:creator>
  <cp:lastModifiedBy>WPS_1696590446</cp:lastModifiedBy>
  <cp:lastPrinted>2026-01-14T01:28:00Z</cp:lastPrinted>
  <dcterms:modified xsi:type="dcterms:W3CDTF">2026-01-21T01:58:33Z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eyJoZGlkIjoiNDkzYTZlMjY4MTAyODBkNmE2OTFiNzgyMTI3OTE1ZjYiLCJ1c2VySWQiOiIxNTQ4MDkzMDc1In0=</vt:lpwstr>
  </property>
  <property fmtid="{D5CDD505-2E9C-101B-9397-08002B2CF9AE}" pid="4" name="ICV">
    <vt:lpwstr>709100D417574303A455539D92F741F0_13</vt:lpwstr>
  </property>
</Properties>
</file>