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191A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市中区矿区街道办事处</w:t>
      </w:r>
    </w:p>
    <w:p w14:paraId="5731E56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2025年政府信息公开工作年度报告</w:t>
      </w:r>
    </w:p>
    <w:p w14:paraId="0DEC734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黑体" w:cs="Times New Roman"/>
          <w:color w:val="auto"/>
          <w:sz w:val="32"/>
          <w:szCs w:val="32"/>
          <w:highlight w:val="none"/>
          <w:shd w:val="clear" w:color="auto" w:fill="FFFFFF"/>
          <w:lang w:eastAsia="zh-CN"/>
        </w:rPr>
      </w:pPr>
    </w:p>
    <w:p w14:paraId="0C2DE57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w:t>
      </w:r>
      <w:bookmarkStart w:id="12" w:name="_GoBack"/>
      <w:r>
        <w:rPr>
          <w:rFonts w:hint="default" w:ascii="Times New Roman" w:hAnsi="Times New Roman" w:eastAsia="仿宋_GB2312" w:cs="Times New Roman"/>
          <w:color w:val="auto"/>
          <w:sz w:val="32"/>
          <w:szCs w:val="32"/>
          <w:shd w:val="clear" w:color="auto" w:fill="FFFFFF"/>
          <w:lang w:eastAsia="zh-CN"/>
        </w:rPr>
        <w:t>》、《</w:t>
      </w:r>
      <w:bookmarkEnd w:id="12"/>
      <w:r>
        <w:rPr>
          <w:rFonts w:hint="default" w:ascii="Times New Roman" w:hAnsi="Times New Roman" w:eastAsia="仿宋_GB2312" w:cs="Times New Roman"/>
          <w:color w:val="auto"/>
          <w:sz w:val="32"/>
          <w:szCs w:val="32"/>
          <w:shd w:val="clear" w:color="auto" w:fill="FFFFFF"/>
          <w:lang w:eastAsia="zh-CN"/>
        </w:rPr>
        <w:t>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。如对本报告有疑问，可与市中区矿区街道办事处联系（地址：</w:t>
      </w:r>
      <w:r>
        <w:rPr>
          <w:rFonts w:hint="default" w:ascii="Times New Roman" w:hAnsi="Times New Roman" w:eastAsia="仿宋_GB2312" w:cs="Times New Roman"/>
          <w:color w:val="auto"/>
          <w:sz w:val="32"/>
          <w:szCs w:val="32"/>
          <w:shd w:val="clear" w:color="auto" w:fill="FFFFFF"/>
          <w:lang w:val="en-US" w:eastAsia="zh-CN"/>
        </w:rPr>
        <w:t>枣庄市市中区解放北路1号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0632-8022900</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电子邮箱：szqkqjdbscadmin@zz.shandong.cn</w:t>
      </w:r>
      <w:r>
        <w:rPr>
          <w:rFonts w:hint="default" w:ascii="Times New Roman" w:hAnsi="Times New Roman" w:eastAsia="仿宋_GB2312" w:cs="Times New Roman"/>
          <w:color w:val="auto"/>
          <w:sz w:val="32"/>
          <w:szCs w:val="32"/>
          <w:shd w:val="clear" w:color="auto" w:fill="FFFFFF"/>
          <w:lang w:eastAsia="zh-CN"/>
        </w:rPr>
        <w:t>）。</w:t>
      </w:r>
    </w:p>
    <w:p w14:paraId="21DFF73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黑体" w:cs="Times New Roman"/>
          <w:color w:val="auto"/>
          <w:sz w:val="32"/>
          <w:szCs w:val="32"/>
          <w:highlight w:val="none"/>
          <w:shd w:val="clear" w:color="auto" w:fill="FFFFFF"/>
          <w:lang w:val="en-US" w:eastAsia="zh-CN"/>
        </w:rPr>
      </w:pPr>
      <w:r>
        <w:rPr>
          <w:rFonts w:hint="default" w:ascii="Times New Roman" w:hAnsi="Times New Roman" w:eastAsia="黑体" w:cs="Times New Roman"/>
          <w:color w:val="auto"/>
          <w:sz w:val="32"/>
          <w:szCs w:val="32"/>
          <w:highlight w:val="none"/>
          <w:shd w:val="clear" w:color="auto" w:fill="FFFFFF"/>
          <w:lang w:val="en-US" w:eastAsia="zh-CN"/>
        </w:rPr>
        <w:t>一、总体情况</w:t>
      </w:r>
    </w:p>
    <w:p w14:paraId="05F43AD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color w:val="auto"/>
          <w:sz w:val="32"/>
          <w:szCs w:val="32"/>
          <w:shd w:val="clear" w:color="auto" w:fill="FFFFFF"/>
          <w:lang w:val="en-US" w:eastAsia="zh-CN"/>
        </w:rPr>
        <w:t>2025年，矿区街道认真贯彻落实《中华人民共和国政府信息公开条例》，着力健全完善信息公开工作体系，强化信息公开载体建设，结合我街道工作实际，进一步健全组织机构，完善信息公开机制，强化各项工作措施，在</w:t>
      </w:r>
      <w:r>
        <w:rPr>
          <w:rFonts w:hint="eastAsia" w:eastAsia="仿宋_GB2312" w:cs="Times New Roman"/>
          <w:color w:val="auto"/>
          <w:sz w:val="32"/>
          <w:szCs w:val="32"/>
          <w:shd w:val="clear" w:color="auto" w:fill="FFFFFF"/>
          <w:lang w:val="en-US" w:eastAsia="zh-CN"/>
        </w:rPr>
        <w:t>保障</w:t>
      </w:r>
      <w:r>
        <w:rPr>
          <w:rFonts w:hint="default" w:ascii="Times New Roman" w:hAnsi="Times New Roman" w:eastAsia="仿宋_GB2312" w:cs="Times New Roman"/>
          <w:color w:val="auto"/>
          <w:sz w:val="32"/>
          <w:szCs w:val="32"/>
          <w:shd w:val="clear" w:color="auto" w:fill="FFFFFF"/>
          <w:lang w:val="en-US" w:eastAsia="zh-CN"/>
        </w:rPr>
        <w:t>公众知情权、满足公众信息需求方面取得了积极成效。</w:t>
      </w:r>
    </w:p>
    <w:p w14:paraId="7D91B12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（一）主动公开</w:t>
      </w:r>
    </w:p>
    <w:p w14:paraId="17B15FF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yellow"/>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2025年，我街道主动公开信息290条，其中在区政府门户网站公开73条，其他渠道公开217条。</w:t>
      </w:r>
    </w:p>
    <w:p w14:paraId="5BBD12F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（二）依申请公开</w:t>
      </w:r>
    </w:p>
    <w:p w14:paraId="7A905A8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市中区矿区街道做好依申请公开工作，依法保障民众的知情权、参与权、表达权、监督权</w:t>
      </w:r>
      <w:r>
        <w:rPr>
          <w:rFonts w:hint="eastAsia" w:eastAsia="仿宋_GB2312" w:cs="Times New Roman"/>
          <w:color w:val="auto"/>
          <w:sz w:val="32"/>
          <w:szCs w:val="32"/>
          <w:highlight w:val="none"/>
          <w:shd w:val="clear" w:color="auto" w:fill="FFFFFF"/>
          <w:lang w:val="en-US" w:eastAsia="zh-CN"/>
        </w:rPr>
        <w:t>。2025年共受理政府信息公开申请1件，涉及1个领域。其中予以公开申请1件，部分公开0件，不予公开0件，无法提供0件，不予处理0件，均在法定期限内予以答复。</w:t>
      </w:r>
    </w:p>
    <w:p w14:paraId="076C49E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本年度市中区矿区街道无收取任何费用情况。</w:t>
      </w:r>
    </w:p>
    <w:p w14:paraId="3B85460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市中区矿区街道办事处未发生因政府信息公开被行政复议情况，未发生因公民、法人和其他组织认为行政机关政府信息公开工作具体行政行为侵犯其合法权益被提起行政诉讼情况。</w:t>
      </w:r>
    </w:p>
    <w:p w14:paraId="7B3E2AA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（三）政府信息管理</w:t>
      </w:r>
    </w:p>
    <w:p w14:paraId="72B49F6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一是完善信息公开管理流程。</w:t>
      </w:r>
      <w:r>
        <w:rPr>
          <w:rFonts w:hint="default" w:ascii="Times New Roman" w:hAnsi="Times New Roman" w:eastAsia="仿宋_GB2312" w:cs="Times New Roman"/>
          <w:color w:val="auto"/>
          <w:sz w:val="32"/>
          <w:szCs w:val="32"/>
          <w:highlight w:val="none"/>
          <w:shd w:val="clear" w:color="auto" w:fill="FFFFFF"/>
          <w:lang w:val="en-US" w:eastAsia="zh-CN"/>
        </w:rPr>
        <w:t>建立政府信息公开工作全流程管理机制，安排专人负责信息公开传送。</w:t>
      </w:r>
    </w:p>
    <w:p w14:paraId="09A512C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二是严格做好公开信息保密审查。</w:t>
      </w:r>
      <w:r>
        <w:rPr>
          <w:rFonts w:hint="default" w:ascii="Times New Roman" w:hAnsi="Times New Roman" w:eastAsia="仿宋_GB2312" w:cs="Times New Roman"/>
          <w:color w:val="auto"/>
          <w:sz w:val="32"/>
          <w:szCs w:val="32"/>
          <w:highlight w:val="none"/>
          <w:shd w:val="clear" w:color="auto" w:fill="FFFFFF"/>
          <w:lang w:val="en-US" w:eastAsia="zh-CN"/>
        </w:rPr>
        <w:t>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三是不断完善公开制度机制。</w:t>
      </w:r>
      <w:r>
        <w:rPr>
          <w:rFonts w:hint="default" w:ascii="Times New Roman" w:hAnsi="Times New Roman" w:eastAsia="仿宋_GB2312" w:cs="Times New Roman"/>
          <w:color w:val="auto"/>
          <w:sz w:val="32"/>
          <w:szCs w:val="32"/>
          <w:highlight w:val="none"/>
          <w:shd w:val="clear" w:color="auto" w:fill="FFFFFF"/>
          <w:lang w:val="en-US" w:eastAsia="zh-CN"/>
        </w:rPr>
        <w:t>2025年，全面落实“以公开为常态、不公开为例外”要求，主动、及时、规范、准确公开应当公开的政府信息，切实做到应公开尽公开，不断提升公开常态化、规范化、标准化水平。</w:t>
      </w:r>
    </w:p>
    <w:p w14:paraId="36DA308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（四）政府信息公开平台建设</w:t>
      </w:r>
    </w:p>
    <w:p w14:paraId="54948B8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yellow"/>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依托“枣庄市市中区人民政府网站”、“政府信息公开专栏”等平台发布信息，推动政务公开信息向不同群体精准推送，提升群众获取政府信息的便利度和幸福感。</w:t>
      </w:r>
    </w:p>
    <w:p w14:paraId="7BC704E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（五）监督保障</w:t>
      </w:r>
    </w:p>
    <w:p w14:paraId="4FE4D91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一是成立领导小组。</w:t>
      </w:r>
      <w:r>
        <w:rPr>
          <w:rFonts w:hint="default" w:ascii="Times New Roman" w:hAnsi="Times New Roman" w:eastAsia="仿宋_GB2312" w:cs="Times New Roman"/>
          <w:color w:val="auto"/>
          <w:sz w:val="32"/>
          <w:szCs w:val="32"/>
          <w:highlight w:val="none"/>
          <w:shd w:val="clear" w:color="auto" w:fill="FFFFFF"/>
          <w:lang w:val="en-US" w:eastAsia="zh-CN"/>
        </w:rPr>
        <w:t>矿区街道高度重视政府信息公开工作，成立由办事处主任任组长，相关科级干部任副组长、各部门负责人为成员的政务公开领导小组，统一组织、协调和指导街道政务公开工作。结合实际，明确工作任务，落实工作责任，做到一级抓一级，层层抓落实，推动政府信息公开落实落细，确保了政务公开工作的有序开展。</w:t>
      </w:r>
    </w:p>
    <w:p w14:paraId="04FB559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二是畅通反馈渠道。</w:t>
      </w:r>
      <w:r>
        <w:rPr>
          <w:rFonts w:hint="default" w:ascii="Times New Roman" w:hAnsi="Times New Roman" w:eastAsia="仿宋_GB2312" w:cs="Times New Roman"/>
          <w:color w:val="auto"/>
          <w:sz w:val="32"/>
          <w:szCs w:val="32"/>
          <w:highlight w:val="none"/>
          <w:shd w:val="clear" w:color="auto" w:fill="FFFFFF"/>
          <w:lang w:val="en-US" w:eastAsia="zh-CN"/>
        </w:rPr>
        <w:t>依托政务服务大厅、社区服务站、政务新媒体等平台，设立政务公开意见箱、开通咨询热线，主动收集群众对政务公开工作的意见建议。建立意见反馈闭环管理机制，对群众反映的问题及时梳理、分类处置、限期回应，不断提升群众满意度。</w:t>
      </w:r>
    </w:p>
    <w:p w14:paraId="76C85E1B">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三是强化保密审查。</w:t>
      </w:r>
      <w:r>
        <w:rPr>
          <w:rFonts w:hint="default" w:ascii="Times New Roman" w:hAnsi="Times New Roman" w:eastAsia="仿宋_GB2312" w:cs="Times New Roman"/>
          <w:color w:val="auto"/>
          <w:sz w:val="32"/>
          <w:szCs w:val="32"/>
          <w:highlight w:val="none"/>
          <w:shd w:val="clear" w:color="auto" w:fill="FFFFFF"/>
          <w:lang w:val="en-US" w:eastAsia="zh-CN"/>
        </w:rPr>
        <w:t>严格执行政务公开保密审查制度，明确审查主体、审查流程和审查责任，对拟公开的政府信息实行“先审查、后公开”“一事一审”。加强与保密部门的协同联动，定期开展保密审查专项检查，严防涉密信息泄露，确保政务公开与信息安全两不误。</w:t>
      </w:r>
    </w:p>
    <w:p w14:paraId="740018DA">
      <w:pPr>
        <w:pStyle w:val="13"/>
        <w:keepNext w:val="0"/>
        <w:keepLines w:val="0"/>
        <w:pageBreakBefore w:val="0"/>
        <w:kinsoku/>
        <w:wordWrap/>
        <w:overflowPunct/>
        <w:topLinePunct w:val="0"/>
        <w:autoSpaceDE/>
        <w:autoSpaceDN/>
        <w:bidi w:val="0"/>
        <w:adjustRightInd/>
        <w:snapToGrid/>
        <w:spacing w:line="560" w:lineRule="exact"/>
        <w:ind w:firstLine="58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14:paraId="37102E2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072E364">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54AB06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ABE400D">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1BB6FAC">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317998E">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4B6C698D">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2AC2116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2D0E07">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01404ABA">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D82905D">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017703">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1782F8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4B0B582">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70D4E569">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72A1001">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91BD93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1B64AFD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BEC50AF">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0E34E63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AEFB2C">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42BEE54">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0A1AAFF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642AAA4">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FEE299D">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1FBEF3B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D2DB062">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7B10632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9D9FD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79210C">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4B31D80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CD261D9">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C576E3C">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0448A87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064A53F">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1048062">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49D18DF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CDED96F">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3A6CF0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56A45D2">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2A88553">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265901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91FA43">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002832E">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14:paraId="4344C0C7">
      <w:pPr>
        <w:pStyle w:val="13"/>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7"/>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065"/>
        <w:gridCol w:w="2350"/>
        <w:gridCol w:w="547"/>
        <w:gridCol w:w="700"/>
        <w:gridCol w:w="700"/>
        <w:gridCol w:w="867"/>
        <w:gridCol w:w="698"/>
        <w:gridCol w:w="491"/>
        <w:gridCol w:w="485"/>
      </w:tblGrid>
      <w:tr w14:paraId="6977E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0" w:type="dxa"/>
            <w:gridSpan w:val="3"/>
            <w:vMerge w:val="restart"/>
            <w:shd w:val="clear" w:color="auto" w:fill="auto"/>
            <w:tcMar>
              <w:left w:w="108" w:type="dxa"/>
              <w:right w:w="108" w:type="dxa"/>
            </w:tcMar>
            <w:vAlign w:val="center"/>
          </w:tcPr>
          <w:p w14:paraId="53F94CB7">
            <w:pPr>
              <w:widowControl/>
              <w:snapToGrid w:val="0"/>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485" w:type="dxa"/>
            <w:gridSpan w:val="7"/>
            <w:shd w:val="clear" w:color="auto" w:fill="auto"/>
            <w:tcMar>
              <w:left w:w="108" w:type="dxa"/>
              <w:right w:w="108" w:type="dxa"/>
            </w:tcMar>
            <w:vAlign w:val="center"/>
          </w:tcPr>
          <w:p w14:paraId="5DDC3798">
            <w:pPr>
              <w:widowControl/>
              <w:snapToGrid w:val="0"/>
              <w:spacing w:line="240" w:lineRule="auto"/>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4DB32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0" w:type="dxa"/>
            <w:gridSpan w:val="3"/>
            <w:vMerge w:val="continue"/>
            <w:shd w:val="clear" w:color="auto" w:fill="auto"/>
            <w:tcMar>
              <w:left w:w="108" w:type="dxa"/>
              <w:right w:w="108" w:type="dxa"/>
            </w:tcMar>
            <w:vAlign w:val="center"/>
          </w:tcPr>
          <w:p w14:paraId="00D9E1F0">
            <w:pPr>
              <w:snapToGrid w:val="0"/>
              <w:ind w:left="0" w:leftChars="0" w:right="0" w:rightChars="0" w:firstLine="0" w:firstLineChars="0"/>
              <w:jc w:val="center"/>
              <w:rPr>
                <w:rFonts w:hint="default" w:ascii="Times New Roman" w:hAnsi="Times New Roman" w:eastAsia="黑体" w:cs="Times New Roman"/>
                <w:b/>
                <w:kern w:val="2"/>
                <w:sz w:val="21"/>
                <w:szCs w:val="21"/>
                <w:lang w:eastAsia="zh-CN" w:bidi="ar-SA"/>
              </w:rPr>
            </w:pPr>
          </w:p>
        </w:tc>
        <w:tc>
          <w:tcPr>
            <w:tcW w:w="547" w:type="dxa"/>
            <w:vMerge w:val="restart"/>
            <w:shd w:val="clear" w:color="auto" w:fill="auto"/>
            <w:tcMar>
              <w:left w:w="108" w:type="dxa"/>
              <w:right w:w="108" w:type="dxa"/>
            </w:tcMar>
            <w:vAlign w:val="center"/>
          </w:tcPr>
          <w:p w14:paraId="08E9113A">
            <w:pPr>
              <w:widowControl/>
              <w:snapToGrid w:val="0"/>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91" w:type="dxa"/>
            <w:gridSpan w:val="5"/>
            <w:shd w:val="clear" w:color="auto" w:fill="auto"/>
            <w:tcMar>
              <w:left w:w="108" w:type="dxa"/>
              <w:right w:w="108" w:type="dxa"/>
            </w:tcMar>
            <w:vAlign w:val="center"/>
          </w:tcPr>
          <w:p w14:paraId="1B72969B">
            <w:pPr>
              <w:widowControl/>
              <w:snapToGrid w:val="0"/>
              <w:spacing w:line="240" w:lineRule="auto"/>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85" w:type="dxa"/>
            <w:vMerge w:val="restart"/>
            <w:shd w:val="clear" w:color="auto" w:fill="auto"/>
            <w:tcMar>
              <w:left w:w="108" w:type="dxa"/>
              <w:right w:w="108" w:type="dxa"/>
            </w:tcMar>
            <w:vAlign w:val="center"/>
          </w:tcPr>
          <w:p w14:paraId="69186415">
            <w:pPr>
              <w:widowControl/>
              <w:snapToGrid w:val="0"/>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4DFD7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0" w:type="dxa"/>
            <w:gridSpan w:val="3"/>
            <w:vMerge w:val="continue"/>
            <w:shd w:val="clear" w:color="auto" w:fill="auto"/>
            <w:tcMar>
              <w:left w:w="108" w:type="dxa"/>
              <w:right w:w="108" w:type="dxa"/>
            </w:tcMar>
            <w:vAlign w:val="center"/>
          </w:tcPr>
          <w:p w14:paraId="099C847D">
            <w:pPr>
              <w:snapToGrid w:val="0"/>
              <w:ind w:left="0" w:leftChars="0" w:right="0" w:rightChars="0" w:firstLine="0" w:firstLineChars="0"/>
              <w:jc w:val="center"/>
              <w:rPr>
                <w:rFonts w:hint="default" w:ascii="Times New Roman" w:hAnsi="Times New Roman" w:eastAsia="黑体" w:cs="Times New Roman"/>
                <w:b/>
                <w:kern w:val="2"/>
                <w:sz w:val="21"/>
                <w:szCs w:val="21"/>
                <w:lang w:eastAsia="zh-CN" w:bidi="ar-SA"/>
              </w:rPr>
            </w:pPr>
          </w:p>
        </w:tc>
        <w:tc>
          <w:tcPr>
            <w:tcW w:w="547" w:type="dxa"/>
            <w:vMerge w:val="continue"/>
            <w:shd w:val="clear" w:color="auto" w:fill="auto"/>
            <w:tcMar>
              <w:left w:w="108" w:type="dxa"/>
              <w:right w:w="108" w:type="dxa"/>
            </w:tcMar>
            <w:vAlign w:val="center"/>
          </w:tcPr>
          <w:p w14:paraId="51382D12">
            <w:pPr>
              <w:snapToGrid w:val="0"/>
              <w:ind w:left="0" w:leftChars="0" w:right="0" w:rightChars="0" w:firstLine="0" w:firstLineChars="0"/>
              <w:jc w:val="center"/>
              <w:rPr>
                <w:rFonts w:hint="default" w:ascii="Times New Roman" w:hAnsi="Times New Roman" w:eastAsia="黑体" w:cs="Times New Roman"/>
                <w:b/>
                <w:kern w:val="2"/>
                <w:sz w:val="21"/>
                <w:szCs w:val="21"/>
                <w:lang w:eastAsia="zh-CN" w:bidi="ar-SA"/>
              </w:rPr>
            </w:pPr>
          </w:p>
        </w:tc>
        <w:tc>
          <w:tcPr>
            <w:tcW w:w="700" w:type="dxa"/>
            <w:shd w:val="clear" w:color="auto" w:fill="auto"/>
            <w:tcMar>
              <w:left w:w="108" w:type="dxa"/>
              <w:right w:w="108" w:type="dxa"/>
            </w:tcMar>
            <w:vAlign w:val="center"/>
          </w:tcPr>
          <w:p w14:paraId="5F9508F8">
            <w:pPr>
              <w:widowControl/>
              <w:snapToGrid w:val="0"/>
              <w:spacing w:line="240" w:lineRule="auto"/>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700" w:type="dxa"/>
            <w:shd w:val="clear" w:color="auto" w:fill="auto"/>
            <w:tcMar>
              <w:left w:w="108" w:type="dxa"/>
              <w:right w:w="108" w:type="dxa"/>
            </w:tcMar>
            <w:vAlign w:val="center"/>
          </w:tcPr>
          <w:p w14:paraId="229E0B88">
            <w:pPr>
              <w:widowControl/>
              <w:snapToGrid w:val="0"/>
              <w:spacing w:line="240" w:lineRule="auto"/>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67" w:type="dxa"/>
            <w:shd w:val="clear" w:color="auto" w:fill="auto"/>
            <w:tcMar>
              <w:left w:w="108" w:type="dxa"/>
              <w:right w:w="108" w:type="dxa"/>
            </w:tcMar>
            <w:vAlign w:val="center"/>
          </w:tcPr>
          <w:p w14:paraId="1EC312ED">
            <w:pPr>
              <w:widowControl/>
              <w:snapToGrid w:val="0"/>
              <w:spacing w:line="240" w:lineRule="auto"/>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698" w:type="dxa"/>
            <w:shd w:val="clear" w:color="auto" w:fill="auto"/>
            <w:tcMar>
              <w:left w:w="108" w:type="dxa"/>
              <w:right w:w="108" w:type="dxa"/>
            </w:tcMar>
            <w:vAlign w:val="center"/>
          </w:tcPr>
          <w:p w14:paraId="07F92C7D">
            <w:pPr>
              <w:widowControl/>
              <w:snapToGrid w:val="0"/>
              <w:spacing w:line="240" w:lineRule="auto"/>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91" w:type="dxa"/>
            <w:shd w:val="clear" w:color="auto" w:fill="auto"/>
            <w:tcMar>
              <w:left w:w="108" w:type="dxa"/>
              <w:right w:w="108" w:type="dxa"/>
            </w:tcMar>
            <w:vAlign w:val="center"/>
          </w:tcPr>
          <w:p w14:paraId="206313A1">
            <w:pPr>
              <w:widowControl/>
              <w:snapToGrid w:val="0"/>
              <w:spacing w:line="240" w:lineRule="auto"/>
              <w:ind w:left="0" w:leftChars="0" w:right="0" w:rightChars="0" w:firstLine="0" w:firstLineChars="0"/>
              <w:jc w:val="center"/>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85" w:type="dxa"/>
            <w:vMerge w:val="continue"/>
            <w:shd w:val="clear" w:color="auto" w:fill="auto"/>
            <w:tcMar>
              <w:left w:w="108" w:type="dxa"/>
              <w:right w:w="108" w:type="dxa"/>
            </w:tcMar>
            <w:vAlign w:val="center"/>
          </w:tcPr>
          <w:p w14:paraId="2919416A">
            <w:pPr>
              <w:snapToGrid w:val="0"/>
              <w:ind w:left="0" w:leftChars="0" w:right="0" w:rightChars="0" w:firstLine="0" w:firstLineChars="0"/>
              <w:jc w:val="center"/>
              <w:rPr>
                <w:rFonts w:hint="default" w:ascii="Times New Roman" w:hAnsi="Times New Roman" w:eastAsia="黑体" w:cs="Times New Roman"/>
                <w:b/>
                <w:kern w:val="2"/>
                <w:sz w:val="21"/>
                <w:szCs w:val="21"/>
                <w:lang w:eastAsia="zh-CN" w:bidi="ar-SA"/>
              </w:rPr>
            </w:pPr>
          </w:p>
        </w:tc>
      </w:tr>
      <w:tr w14:paraId="67399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0" w:type="dxa"/>
            <w:gridSpan w:val="3"/>
            <w:shd w:val="clear" w:color="auto" w:fill="auto"/>
            <w:tcMar>
              <w:left w:w="108" w:type="dxa"/>
              <w:right w:w="108" w:type="dxa"/>
            </w:tcMar>
            <w:vAlign w:val="center"/>
          </w:tcPr>
          <w:p w14:paraId="674474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547" w:type="dxa"/>
            <w:shd w:val="clear" w:color="auto" w:fill="auto"/>
            <w:tcMar>
              <w:left w:w="108" w:type="dxa"/>
              <w:right w:w="108" w:type="dxa"/>
            </w:tcMar>
            <w:vAlign w:val="center"/>
          </w:tcPr>
          <w:p w14:paraId="5005E1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700" w:type="dxa"/>
            <w:shd w:val="clear" w:color="auto" w:fill="auto"/>
            <w:tcMar>
              <w:left w:w="108" w:type="dxa"/>
              <w:right w:w="108" w:type="dxa"/>
            </w:tcMar>
            <w:vAlign w:val="center"/>
          </w:tcPr>
          <w:p w14:paraId="1C912E9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782B69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47DE8D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2C8323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A9C255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17A7A6B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r>
      <w:tr w14:paraId="45CB5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0" w:type="dxa"/>
            <w:gridSpan w:val="3"/>
            <w:shd w:val="clear" w:color="auto" w:fill="auto"/>
            <w:tcMar>
              <w:left w:w="108" w:type="dxa"/>
              <w:right w:w="108" w:type="dxa"/>
            </w:tcMar>
            <w:vAlign w:val="center"/>
          </w:tcPr>
          <w:p w14:paraId="614C3D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547" w:type="dxa"/>
            <w:shd w:val="clear" w:color="auto" w:fill="auto"/>
            <w:tcMar>
              <w:left w:w="108" w:type="dxa"/>
              <w:right w:w="108" w:type="dxa"/>
            </w:tcMar>
            <w:vAlign w:val="center"/>
          </w:tcPr>
          <w:p w14:paraId="7B70E0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57EF92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3F05C7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5C59E9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70E5303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0D7F7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5BCD88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4017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restart"/>
            <w:shd w:val="clear" w:color="auto" w:fill="auto"/>
            <w:tcMar>
              <w:left w:w="108" w:type="dxa"/>
              <w:right w:w="108" w:type="dxa"/>
            </w:tcMar>
            <w:vAlign w:val="center"/>
          </w:tcPr>
          <w:p w14:paraId="7C8EB45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350" w:type="dxa"/>
            <w:gridSpan w:val="2"/>
            <w:shd w:val="clear" w:color="auto" w:fill="auto"/>
            <w:tcMar>
              <w:left w:w="108" w:type="dxa"/>
              <w:right w:w="108" w:type="dxa"/>
            </w:tcMar>
            <w:vAlign w:val="center"/>
          </w:tcPr>
          <w:p w14:paraId="59D9A6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547" w:type="dxa"/>
            <w:shd w:val="clear" w:color="auto" w:fill="auto"/>
            <w:tcMar>
              <w:left w:w="108" w:type="dxa"/>
              <w:right w:w="108" w:type="dxa"/>
            </w:tcMar>
            <w:vAlign w:val="center"/>
          </w:tcPr>
          <w:p w14:paraId="1E9FD0D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700" w:type="dxa"/>
            <w:shd w:val="clear" w:color="auto" w:fill="auto"/>
            <w:tcMar>
              <w:left w:w="108" w:type="dxa"/>
              <w:right w:w="108" w:type="dxa"/>
            </w:tcMar>
            <w:vAlign w:val="center"/>
          </w:tcPr>
          <w:p w14:paraId="3EF1B0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09905E5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0C418CE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7E85A86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0155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135168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0ECD4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3FD4E4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gridSpan w:val="2"/>
            <w:shd w:val="clear" w:color="auto" w:fill="auto"/>
            <w:tcMar>
              <w:left w:w="108" w:type="dxa"/>
              <w:right w:w="108" w:type="dxa"/>
            </w:tcMar>
            <w:vAlign w:val="center"/>
          </w:tcPr>
          <w:p w14:paraId="033E81B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547" w:type="dxa"/>
            <w:shd w:val="clear" w:color="auto" w:fill="auto"/>
            <w:tcMar>
              <w:left w:w="108" w:type="dxa"/>
              <w:right w:w="108" w:type="dxa"/>
            </w:tcMar>
            <w:vAlign w:val="center"/>
          </w:tcPr>
          <w:p w14:paraId="55FCD05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2AF7C0C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2A7D82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4BBD55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3E5CF6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4CD80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487D974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7508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5F13F3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restart"/>
            <w:shd w:val="clear" w:color="auto" w:fill="auto"/>
            <w:tcMar>
              <w:left w:w="108" w:type="dxa"/>
              <w:right w:w="108" w:type="dxa"/>
            </w:tcMar>
            <w:vAlign w:val="center"/>
          </w:tcPr>
          <w:p w14:paraId="1E2D45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350" w:type="dxa"/>
            <w:shd w:val="clear" w:color="auto" w:fill="auto"/>
            <w:tcMar>
              <w:left w:w="108" w:type="dxa"/>
              <w:right w:w="108" w:type="dxa"/>
            </w:tcMar>
            <w:vAlign w:val="center"/>
          </w:tcPr>
          <w:p w14:paraId="4E52EC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547" w:type="dxa"/>
            <w:shd w:val="clear" w:color="auto" w:fill="auto"/>
            <w:tcMar>
              <w:left w:w="108" w:type="dxa"/>
              <w:right w:w="108" w:type="dxa"/>
            </w:tcMar>
            <w:vAlign w:val="center"/>
          </w:tcPr>
          <w:p w14:paraId="2E04021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741C27A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DAC24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2AF2D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10522B6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0A973F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302100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9772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B0E629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75DDD66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6C4D8B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547" w:type="dxa"/>
            <w:shd w:val="clear" w:color="auto" w:fill="auto"/>
            <w:tcMar>
              <w:left w:w="108" w:type="dxa"/>
              <w:right w:w="108" w:type="dxa"/>
            </w:tcMar>
            <w:vAlign w:val="center"/>
          </w:tcPr>
          <w:p w14:paraId="6451A2C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40EC3AC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5F78C7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04D5A0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4440B3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84819D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7AD68B8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D6F7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BC92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0EB7B17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184DE2D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547" w:type="dxa"/>
            <w:shd w:val="clear" w:color="auto" w:fill="auto"/>
            <w:tcMar>
              <w:left w:w="108" w:type="dxa"/>
              <w:right w:w="108" w:type="dxa"/>
            </w:tcMar>
            <w:vAlign w:val="center"/>
          </w:tcPr>
          <w:p w14:paraId="0D14BE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504E40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711624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6F463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6577B22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6727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5E47FE4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A930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0CEE86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38F3851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076F02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547" w:type="dxa"/>
            <w:shd w:val="clear" w:color="auto" w:fill="auto"/>
            <w:tcMar>
              <w:left w:w="108" w:type="dxa"/>
              <w:right w:w="108" w:type="dxa"/>
            </w:tcMar>
            <w:vAlign w:val="center"/>
          </w:tcPr>
          <w:p w14:paraId="19262B8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47ED82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03B285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BB75F2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4BBADDF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5A07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57B4D05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3194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6EEDD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7384519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3C72D42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547" w:type="dxa"/>
            <w:shd w:val="clear" w:color="auto" w:fill="auto"/>
            <w:tcMar>
              <w:left w:w="108" w:type="dxa"/>
              <w:right w:w="108" w:type="dxa"/>
            </w:tcMar>
            <w:vAlign w:val="center"/>
          </w:tcPr>
          <w:p w14:paraId="7E55E5A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3A2F6E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362D8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4290FA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6E8AB40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AADFF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664776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C9FE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84AA75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404CEF8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25AF62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547" w:type="dxa"/>
            <w:shd w:val="clear" w:color="auto" w:fill="auto"/>
            <w:tcMar>
              <w:left w:w="108" w:type="dxa"/>
              <w:right w:w="108" w:type="dxa"/>
            </w:tcMar>
            <w:vAlign w:val="center"/>
          </w:tcPr>
          <w:p w14:paraId="05D9824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0E6675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5CA2AA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24AAE8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322810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11136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169EC22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BD92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99269F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2B94D59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36665C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547" w:type="dxa"/>
            <w:shd w:val="clear" w:color="auto" w:fill="auto"/>
            <w:tcMar>
              <w:left w:w="108" w:type="dxa"/>
              <w:right w:w="108" w:type="dxa"/>
            </w:tcMar>
            <w:vAlign w:val="center"/>
          </w:tcPr>
          <w:p w14:paraId="403F7B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0E063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3877C46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6151FB9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165185C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54323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120E4BC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B678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53D26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150384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41468C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547" w:type="dxa"/>
            <w:shd w:val="clear" w:color="auto" w:fill="auto"/>
            <w:tcMar>
              <w:left w:w="108" w:type="dxa"/>
              <w:right w:w="108" w:type="dxa"/>
            </w:tcMar>
            <w:vAlign w:val="center"/>
          </w:tcPr>
          <w:p w14:paraId="095FD6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47ED7F1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DEEA2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4284C1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4624399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B98FB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2549591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C100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72155DF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restart"/>
            <w:shd w:val="clear" w:color="auto" w:fill="auto"/>
            <w:tcMar>
              <w:left w:w="108" w:type="dxa"/>
              <w:right w:w="108" w:type="dxa"/>
            </w:tcMar>
            <w:vAlign w:val="center"/>
          </w:tcPr>
          <w:p w14:paraId="3C7112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350" w:type="dxa"/>
            <w:shd w:val="clear" w:color="auto" w:fill="auto"/>
            <w:tcMar>
              <w:left w:w="108" w:type="dxa"/>
              <w:right w:w="108" w:type="dxa"/>
            </w:tcMar>
            <w:vAlign w:val="center"/>
          </w:tcPr>
          <w:p w14:paraId="09E4E7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547" w:type="dxa"/>
            <w:shd w:val="clear" w:color="auto" w:fill="auto"/>
            <w:tcMar>
              <w:left w:w="108" w:type="dxa"/>
              <w:right w:w="108" w:type="dxa"/>
            </w:tcMar>
            <w:vAlign w:val="center"/>
          </w:tcPr>
          <w:p w14:paraId="5D730A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1"/>
                <w:lang w:eastAsia="zh-CN" w:bidi="ar-SA"/>
              </w:rPr>
              <w:t>0</w:t>
            </w:r>
          </w:p>
        </w:tc>
        <w:tc>
          <w:tcPr>
            <w:tcW w:w="700" w:type="dxa"/>
            <w:shd w:val="clear" w:color="auto" w:fill="auto"/>
            <w:tcMar>
              <w:left w:w="108" w:type="dxa"/>
              <w:right w:w="108" w:type="dxa"/>
            </w:tcMar>
            <w:vAlign w:val="center"/>
          </w:tcPr>
          <w:p w14:paraId="3103A7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A637A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F9D0FD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6FDECE6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32DCC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5756FC2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5229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73DB21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64BA416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47D0A8F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547" w:type="dxa"/>
            <w:shd w:val="clear" w:color="auto" w:fill="auto"/>
            <w:tcMar>
              <w:left w:w="108" w:type="dxa"/>
              <w:right w:w="108" w:type="dxa"/>
            </w:tcMar>
            <w:vAlign w:val="center"/>
          </w:tcPr>
          <w:p w14:paraId="36564FB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7CF9F2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5DE2BCF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207DC6F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3442D44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F8DF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31B41E0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7195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D2300F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6578F31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74C26B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547" w:type="dxa"/>
            <w:shd w:val="clear" w:color="auto" w:fill="auto"/>
            <w:tcMar>
              <w:left w:w="108" w:type="dxa"/>
              <w:right w:w="108" w:type="dxa"/>
            </w:tcMar>
            <w:vAlign w:val="center"/>
          </w:tcPr>
          <w:p w14:paraId="4FF32BA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17C59C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236A3B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215B1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6FD6C0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301B9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5E5150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432F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72C885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restart"/>
            <w:shd w:val="clear" w:color="auto" w:fill="auto"/>
            <w:tcMar>
              <w:left w:w="108" w:type="dxa"/>
              <w:right w:w="108" w:type="dxa"/>
            </w:tcMar>
            <w:vAlign w:val="center"/>
          </w:tcPr>
          <w:p w14:paraId="6E96826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350" w:type="dxa"/>
            <w:shd w:val="clear" w:color="auto" w:fill="auto"/>
            <w:tcMar>
              <w:left w:w="108" w:type="dxa"/>
              <w:right w:w="108" w:type="dxa"/>
            </w:tcMar>
            <w:vAlign w:val="center"/>
          </w:tcPr>
          <w:p w14:paraId="45AC81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547" w:type="dxa"/>
            <w:shd w:val="clear" w:color="auto" w:fill="auto"/>
            <w:tcMar>
              <w:left w:w="108" w:type="dxa"/>
              <w:right w:w="108" w:type="dxa"/>
            </w:tcMar>
            <w:vAlign w:val="center"/>
          </w:tcPr>
          <w:p w14:paraId="1C3ED1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4906BD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D09F3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DBF63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07BED71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2FB6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0C3C105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0A8B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B9EB6A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7FC77F7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485DE68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547" w:type="dxa"/>
            <w:shd w:val="clear" w:color="auto" w:fill="auto"/>
            <w:tcMar>
              <w:left w:w="108" w:type="dxa"/>
              <w:right w:w="108" w:type="dxa"/>
            </w:tcMar>
            <w:vAlign w:val="center"/>
          </w:tcPr>
          <w:p w14:paraId="671783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217EDD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08E03B6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794418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3916A4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03F7E1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1244AD5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E598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1191B2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0A943E1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1A079F6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547" w:type="dxa"/>
            <w:shd w:val="clear" w:color="auto" w:fill="auto"/>
            <w:tcMar>
              <w:left w:w="108" w:type="dxa"/>
              <w:right w:w="108" w:type="dxa"/>
            </w:tcMar>
            <w:vAlign w:val="center"/>
          </w:tcPr>
          <w:p w14:paraId="1F09F0A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50B650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089061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582FFC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6E57B32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5A1D8E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1AC94F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D96B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953D2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42DD61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59EA61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547" w:type="dxa"/>
            <w:shd w:val="clear" w:color="auto" w:fill="auto"/>
            <w:tcMar>
              <w:left w:w="108" w:type="dxa"/>
              <w:right w:w="108" w:type="dxa"/>
            </w:tcMar>
            <w:vAlign w:val="center"/>
          </w:tcPr>
          <w:p w14:paraId="13C91C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3136D4C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12CC57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4DAE06C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164AF03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495D1A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79E0B2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8A40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222CE4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7435C8C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2350" w:type="dxa"/>
            <w:shd w:val="clear" w:color="auto" w:fill="auto"/>
            <w:tcMar>
              <w:left w:w="108" w:type="dxa"/>
              <w:right w:w="108" w:type="dxa"/>
            </w:tcMar>
            <w:vAlign w:val="center"/>
          </w:tcPr>
          <w:p w14:paraId="69189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5.要求行政机关确认或重新</w:t>
            </w:r>
          </w:p>
          <w:p w14:paraId="1CA733C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2"/>
                <w:sz w:val="21"/>
                <w:szCs w:val="22"/>
                <w:lang w:eastAsia="zh-CN" w:bidi="ar-SA"/>
              </w:rPr>
              <w:t>出具已获取信息</w:t>
            </w:r>
          </w:p>
        </w:tc>
        <w:tc>
          <w:tcPr>
            <w:tcW w:w="547" w:type="dxa"/>
            <w:shd w:val="clear" w:color="auto" w:fill="auto"/>
            <w:tcMar>
              <w:left w:w="108" w:type="dxa"/>
              <w:right w:w="108" w:type="dxa"/>
            </w:tcMar>
            <w:vAlign w:val="center"/>
          </w:tcPr>
          <w:p w14:paraId="0E38A68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2A48912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1F3BDB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059BC08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6B45F9F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77303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4F28D03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3705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4C7BAF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restart"/>
            <w:shd w:val="clear" w:color="auto" w:fill="auto"/>
            <w:tcMar>
              <w:left w:w="108" w:type="dxa"/>
              <w:right w:w="108" w:type="dxa"/>
            </w:tcMar>
            <w:vAlign w:val="center"/>
          </w:tcPr>
          <w:p w14:paraId="5BCD13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0"/>
                <w:sz w:val="21"/>
                <w:szCs w:val="21"/>
                <w:lang w:eastAsia="zh-CN" w:bidi="ar-SA"/>
              </w:rPr>
              <w:t>（六）其他处理</w:t>
            </w:r>
          </w:p>
        </w:tc>
        <w:tc>
          <w:tcPr>
            <w:tcW w:w="2350" w:type="dxa"/>
            <w:shd w:val="clear" w:color="auto" w:fill="auto"/>
            <w:vAlign w:val="center"/>
          </w:tcPr>
          <w:p w14:paraId="1D7F7E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547" w:type="dxa"/>
            <w:shd w:val="clear" w:color="auto" w:fill="auto"/>
            <w:tcMar>
              <w:left w:w="108" w:type="dxa"/>
              <w:right w:w="108" w:type="dxa"/>
            </w:tcMar>
            <w:vAlign w:val="center"/>
          </w:tcPr>
          <w:p w14:paraId="335114E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07BA8F2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14F6EF8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150E17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277A57C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600F3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456B96D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DA62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F15151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699523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2"/>
                <w:lang w:eastAsia="zh-CN" w:bidi="ar-SA"/>
              </w:rPr>
            </w:pPr>
          </w:p>
        </w:tc>
        <w:tc>
          <w:tcPr>
            <w:tcW w:w="2350" w:type="dxa"/>
            <w:shd w:val="clear" w:color="auto" w:fill="auto"/>
            <w:vAlign w:val="center"/>
          </w:tcPr>
          <w:p w14:paraId="23259C7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547" w:type="dxa"/>
            <w:shd w:val="clear" w:color="auto" w:fill="auto"/>
            <w:tcMar>
              <w:left w:w="108" w:type="dxa"/>
              <w:right w:w="108" w:type="dxa"/>
            </w:tcMar>
            <w:vAlign w:val="center"/>
          </w:tcPr>
          <w:p w14:paraId="7E28B1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C4860D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49358EF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1D56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46C44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2565FC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2C5F25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EDD9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3D4841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1"/>
                <w:lang w:eastAsia="zh-CN" w:bidi="ar-SA"/>
              </w:rPr>
            </w:pPr>
          </w:p>
        </w:tc>
        <w:tc>
          <w:tcPr>
            <w:tcW w:w="1065" w:type="dxa"/>
            <w:vMerge w:val="continue"/>
            <w:shd w:val="clear" w:color="auto" w:fill="auto"/>
            <w:tcMar>
              <w:left w:w="108" w:type="dxa"/>
              <w:right w:w="108" w:type="dxa"/>
            </w:tcMar>
            <w:vAlign w:val="center"/>
          </w:tcPr>
          <w:p w14:paraId="744EBA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2"/>
                <w:lang w:eastAsia="zh-CN" w:bidi="ar-SA"/>
              </w:rPr>
            </w:pPr>
          </w:p>
        </w:tc>
        <w:tc>
          <w:tcPr>
            <w:tcW w:w="2350" w:type="dxa"/>
            <w:shd w:val="clear" w:color="auto" w:fill="auto"/>
            <w:vAlign w:val="center"/>
          </w:tcPr>
          <w:p w14:paraId="20D5140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3.其他</w:t>
            </w:r>
          </w:p>
        </w:tc>
        <w:tc>
          <w:tcPr>
            <w:tcW w:w="547" w:type="dxa"/>
            <w:shd w:val="clear" w:color="auto" w:fill="auto"/>
            <w:tcMar>
              <w:left w:w="108" w:type="dxa"/>
              <w:right w:w="108" w:type="dxa"/>
            </w:tcMar>
            <w:vAlign w:val="center"/>
          </w:tcPr>
          <w:p w14:paraId="585C1B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5AFEC46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4BAD132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5FB1A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6E6ED62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830C5F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4FBE09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834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D836A1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b/>
                <w:kern w:val="2"/>
                <w:sz w:val="21"/>
                <w:szCs w:val="21"/>
                <w:lang w:eastAsia="zh-CN" w:bidi="ar-SA"/>
              </w:rPr>
            </w:pPr>
          </w:p>
        </w:tc>
        <w:tc>
          <w:tcPr>
            <w:tcW w:w="2350" w:type="dxa"/>
            <w:gridSpan w:val="2"/>
            <w:shd w:val="clear" w:color="auto" w:fill="auto"/>
            <w:tcMar>
              <w:left w:w="108" w:type="dxa"/>
              <w:right w:w="108" w:type="dxa"/>
            </w:tcMar>
            <w:vAlign w:val="center"/>
          </w:tcPr>
          <w:p w14:paraId="5ADBAA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547" w:type="dxa"/>
            <w:shd w:val="clear" w:color="auto" w:fill="auto"/>
            <w:tcMar>
              <w:left w:w="108" w:type="dxa"/>
              <w:right w:w="108" w:type="dxa"/>
            </w:tcMar>
            <w:vAlign w:val="center"/>
          </w:tcPr>
          <w:p w14:paraId="0E36106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1</w:t>
            </w:r>
          </w:p>
        </w:tc>
        <w:tc>
          <w:tcPr>
            <w:tcW w:w="700" w:type="dxa"/>
            <w:shd w:val="clear" w:color="auto" w:fill="auto"/>
            <w:tcMar>
              <w:left w:w="108" w:type="dxa"/>
              <w:right w:w="108" w:type="dxa"/>
            </w:tcMar>
            <w:vAlign w:val="center"/>
          </w:tcPr>
          <w:p w14:paraId="09E5FB0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700" w:type="dxa"/>
            <w:shd w:val="clear" w:color="auto" w:fill="auto"/>
            <w:tcMar>
              <w:left w:w="108" w:type="dxa"/>
              <w:right w:w="108" w:type="dxa"/>
            </w:tcMar>
            <w:vAlign w:val="center"/>
          </w:tcPr>
          <w:p w14:paraId="4B13B9C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867" w:type="dxa"/>
            <w:shd w:val="clear" w:color="auto" w:fill="auto"/>
            <w:tcMar>
              <w:left w:w="108" w:type="dxa"/>
              <w:right w:w="108" w:type="dxa"/>
            </w:tcMar>
            <w:vAlign w:val="center"/>
          </w:tcPr>
          <w:p w14:paraId="56D4E2E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698" w:type="dxa"/>
            <w:shd w:val="clear" w:color="auto" w:fill="auto"/>
            <w:tcMar>
              <w:left w:w="108" w:type="dxa"/>
              <w:right w:w="108" w:type="dxa"/>
            </w:tcMar>
            <w:vAlign w:val="center"/>
          </w:tcPr>
          <w:p w14:paraId="55F34BD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67D49C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0</w:t>
            </w:r>
          </w:p>
        </w:tc>
        <w:tc>
          <w:tcPr>
            <w:tcW w:w="485" w:type="dxa"/>
            <w:shd w:val="clear" w:color="auto" w:fill="auto"/>
            <w:tcMar>
              <w:left w:w="108" w:type="dxa"/>
              <w:right w:w="108" w:type="dxa"/>
            </w:tcMar>
            <w:vAlign w:val="center"/>
          </w:tcPr>
          <w:p w14:paraId="570492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b/>
                <w:kern w:val="2"/>
                <w:sz w:val="21"/>
                <w:szCs w:val="21"/>
                <w:lang w:val="en-US" w:eastAsia="zh-CN" w:bidi="ar-SA"/>
              </w:rPr>
            </w:pPr>
            <w:r>
              <w:rPr>
                <w:rFonts w:hint="default" w:ascii="Times New Roman" w:hAnsi="Times New Roman" w:eastAsia="仿宋_GB2312" w:cs="Times New Roman"/>
                <w:b/>
                <w:kern w:val="2"/>
                <w:sz w:val="21"/>
                <w:szCs w:val="21"/>
                <w:lang w:val="en-US" w:eastAsia="zh-CN" w:bidi="ar-SA"/>
              </w:rPr>
              <w:t>1</w:t>
            </w:r>
          </w:p>
        </w:tc>
      </w:tr>
      <w:tr w14:paraId="07D0C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0" w:type="dxa"/>
            <w:gridSpan w:val="3"/>
            <w:shd w:val="clear" w:color="auto" w:fill="auto"/>
            <w:tcMar>
              <w:left w:w="108" w:type="dxa"/>
              <w:right w:w="108" w:type="dxa"/>
            </w:tcMar>
            <w:vAlign w:val="center"/>
          </w:tcPr>
          <w:p w14:paraId="138D280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547" w:type="dxa"/>
            <w:shd w:val="clear" w:color="auto" w:fill="auto"/>
            <w:tcMar>
              <w:left w:w="108" w:type="dxa"/>
              <w:right w:w="108" w:type="dxa"/>
            </w:tcMar>
            <w:vAlign w:val="center"/>
          </w:tcPr>
          <w:p w14:paraId="5E8B5FC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6D91C12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0" w:type="dxa"/>
            <w:shd w:val="clear" w:color="auto" w:fill="auto"/>
            <w:tcMar>
              <w:left w:w="108" w:type="dxa"/>
              <w:right w:w="108" w:type="dxa"/>
            </w:tcMar>
            <w:vAlign w:val="center"/>
          </w:tcPr>
          <w:p w14:paraId="0CBAA7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67" w:type="dxa"/>
            <w:shd w:val="clear" w:color="auto" w:fill="auto"/>
            <w:tcMar>
              <w:left w:w="108" w:type="dxa"/>
              <w:right w:w="108" w:type="dxa"/>
            </w:tcMar>
            <w:vAlign w:val="center"/>
          </w:tcPr>
          <w:p w14:paraId="39419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698" w:type="dxa"/>
            <w:shd w:val="clear" w:color="auto" w:fill="auto"/>
            <w:tcMar>
              <w:left w:w="108" w:type="dxa"/>
              <w:right w:w="108" w:type="dxa"/>
            </w:tcMar>
            <w:vAlign w:val="center"/>
          </w:tcPr>
          <w:p w14:paraId="240EFBC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869682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485" w:type="dxa"/>
            <w:shd w:val="clear" w:color="auto" w:fill="auto"/>
            <w:tcMar>
              <w:left w:w="108" w:type="dxa"/>
              <w:right w:w="108" w:type="dxa"/>
            </w:tcMar>
            <w:vAlign w:val="center"/>
          </w:tcPr>
          <w:p w14:paraId="68B945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outlineLvl w:val="9"/>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bl>
    <w:p w14:paraId="12169C8F">
      <w:pPr>
        <w:pStyle w:val="1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四、政府信息公开行政复议、行政诉讼情况</w:t>
      </w:r>
    </w:p>
    <w:tbl>
      <w:tblPr>
        <w:tblStyle w:val="7"/>
        <w:tblW w:w="5000" w:type="pct"/>
        <w:jc w:val="center"/>
        <w:tblLayout w:type="autofit"/>
        <w:tblCellMar>
          <w:top w:w="0" w:type="dxa"/>
          <w:left w:w="10" w:type="dxa"/>
          <w:bottom w:w="0" w:type="dxa"/>
          <w:right w:w="10" w:type="dxa"/>
        </w:tblCellMar>
      </w:tblPr>
      <w:tblGrid>
        <w:gridCol w:w="576"/>
        <w:gridCol w:w="578"/>
        <w:gridCol w:w="578"/>
        <w:gridCol w:w="578"/>
        <w:gridCol w:w="461"/>
        <w:gridCol w:w="578"/>
        <w:gridCol w:w="578"/>
        <w:gridCol w:w="578"/>
        <w:gridCol w:w="578"/>
        <w:gridCol w:w="465"/>
        <w:gridCol w:w="578"/>
        <w:gridCol w:w="578"/>
        <w:gridCol w:w="578"/>
        <w:gridCol w:w="578"/>
        <w:gridCol w:w="466"/>
      </w:tblGrid>
      <w:tr w14:paraId="2AAC90E8">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1BEF5ABF">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E1A7155">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0F5B5394">
        <w:tblPrEx>
          <w:tblCellMar>
            <w:top w:w="0" w:type="dxa"/>
            <w:left w:w="10" w:type="dxa"/>
            <w:bottom w:w="0" w:type="dxa"/>
            <w:right w:w="10" w:type="dxa"/>
          </w:tblCellMar>
        </w:tblPrEx>
        <w:trPr>
          <w:trHeight w:val="0" w:hRule="atLeast"/>
          <w:jc w:val="center"/>
        </w:trPr>
        <w:tc>
          <w:tcPr>
            <w:tcW w:w="346" w:type="pct"/>
            <w:vMerge w:val="restart"/>
            <w:tcBorders>
              <w:top w:val="single" w:color="auto" w:sz="4" w:space="0"/>
              <w:left w:val="single" w:color="auto" w:sz="4" w:space="0"/>
            </w:tcBorders>
            <w:shd w:val="clear" w:color="auto" w:fill="FFFFFF"/>
            <w:vAlign w:val="center"/>
          </w:tcPr>
          <w:p w14:paraId="5DC5B070">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47" w:type="pct"/>
            <w:vMerge w:val="restart"/>
            <w:tcBorders>
              <w:top w:val="single" w:color="auto" w:sz="4" w:space="0"/>
              <w:left w:val="single" w:color="auto" w:sz="4" w:space="0"/>
            </w:tcBorders>
            <w:shd w:val="clear" w:color="auto" w:fill="FFFFFF"/>
            <w:vAlign w:val="center"/>
          </w:tcPr>
          <w:p w14:paraId="51887574">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47" w:type="pct"/>
            <w:vMerge w:val="restart"/>
            <w:tcBorders>
              <w:top w:val="single" w:color="auto" w:sz="4" w:space="0"/>
              <w:left w:val="single" w:color="auto" w:sz="4" w:space="0"/>
            </w:tcBorders>
            <w:shd w:val="clear" w:color="auto" w:fill="FFFFFF"/>
            <w:vAlign w:val="center"/>
          </w:tcPr>
          <w:p w14:paraId="62ED0386">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47" w:type="pct"/>
            <w:vMerge w:val="restart"/>
            <w:tcBorders>
              <w:top w:val="single" w:color="auto" w:sz="4" w:space="0"/>
              <w:left w:val="single" w:color="auto" w:sz="4" w:space="0"/>
            </w:tcBorders>
            <w:shd w:val="clear" w:color="auto" w:fill="FFFFFF"/>
            <w:vAlign w:val="center"/>
          </w:tcPr>
          <w:p w14:paraId="2736A27E">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276" w:type="pct"/>
            <w:vMerge w:val="restart"/>
            <w:tcBorders>
              <w:top w:val="single" w:color="auto" w:sz="4" w:space="0"/>
              <w:left w:val="single" w:color="auto" w:sz="4" w:space="0"/>
            </w:tcBorders>
            <w:shd w:val="clear" w:color="auto" w:fill="FFFFFF"/>
            <w:textDirection w:val="tbRlV"/>
            <w:vAlign w:val="bottom"/>
          </w:tcPr>
          <w:p w14:paraId="07E32E09">
            <w:pPr>
              <w:pStyle w:val="12"/>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E408F8C">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0968840B">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7EE99305">
        <w:tblPrEx>
          <w:tblCellMar>
            <w:top w:w="0" w:type="dxa"/>
            <w:left w:w="10" w:type="dxa"/>
            <w:bottom w:w="0" w:type="dxa"/>
            <w:right w:w="10" w:type="dxa"/>
          </w:tblCellMar>
        </w:tblPrEx>
        <w:trPr>
          <w:trHeight w:val="0" w:hRule="atLeast"/>
          <w:jc w:val="center"/>
        </w:trPr>
        <w:tc>
          <w:tcPr>
            <w:tcW w:w="346" w:type="pct"/>
            <w:vMerge w:val="continue"/>
            <w:tcBorders>
              <w:left w:val="single" w:color="auto" w:sz="4" w:space="0"/>
            </w:tcBorders>
            <w:shd w:val="clear" w:color="auto" w:fill="FFFFFF"/>
            <w:vAlign w:val="center"/>
          </w:tcPr>
          <w:p w14:paraId="0474BCBC">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06F3A04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7F09F25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vMerge w:val="continue"/>
            <w:tcBorders>
              <w:left w:val="single" w:color="auto" w:sz="4" w:space="0"/>
            </w:tcBorders>
            <w:shd w:val="clear" w:color="auto" w:fill="FFFFFF"/>
            <w:vAlign w:val="center"/>
          </w:tcPr>
          <w:p w14:paraId="6A45BFB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276" w:type="pct"/>
            <w:vMerge w:val="continue"/>
            <w:tcBorders>
              <w:left w:val="single" w:color="auto" w:sz="4" w:space="0"/>
            </w:tcBorders>
            <w:shd w:val="clear" w:color="auto" w:fill="FFFFFF"/>
            <w:textDirection w:val="tbRlV"/>
            <w:vAlign w:val="bottom"/>
          </w:tcPr>
          <w:p w14:paraId="237CCA7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color w:val="auto"/>
              </w:rPr>
            </w:pPr>
          </w:p>
        </w:tc>
        <w:tc>
          <w:tcPr>
            <w:tcW w:w="347" w:type="pct"/>
            <w:tcBorders>
              <w:top w:val="single" w:color="auto" w:sz="4" w:space="0"/>
              <w:left w:val="single" w:color="auto" w:sz="4" w:space="0"/>
            </w:tcBorders>
            <w:shd w:val="clear" w:color="auto" w:fill="FFFFFF"/>
            <w:vAlign w:val="center"/>
          </w:tcPr>
          <w:p w14:paraId="74BD2F56">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47" w:type="pct"/>
            <w:tcBorders>
              <w:top w:val="single" w:color="auto" w:sz="4" w:space="0"/>
              <w:left w:val="single" w:color="auto" w:sz="4" w:space="0"/>
            </w:tcBorders>
            <w:shd w:val="clear" w:color="auto" w:fill="FFFFFF"/>
            <w:vAlign w:val="center"/>
          </w:tcPr>
          <w:p w14:paraId="24F0F9BB">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47" w:type="pct"/>
            <w:tcBorders>
              <w:top w:val="single" w:color="auto" w:sz="4" w:space="0"/>
              <w:left w:val="single" w:color="auto" w:sz="4" w:space="0"/>
            </w:tcBorders>
            <w:shd w:val="clear" w:color="auto" w:fill="FFFFFF"/>
            <w:vAlign w:val="center"/>
          </w:tcPr>
          <w:p w14:paraId="58A4FF4B">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47" w:type="pct"/>
            <w:tcBorders>
              <w:top w:val="single" w:color="auto" w:sz="4" w:space="0"/>
              <w:left w:val="single" w:color="auto" w:sz="4" w:space="0"/>
            </w:tcBorders>
            <w:shd w:val="clear" w:color="auto" w:fill="FFFFFF"/>
            <w:vAlign w:val="center"/>
          </w:tcPr>
          <w:p w14:paraId="4DB0D91B">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279" w:type="pct"/>
            <w:tcBorders>
              <w:top w:val="single" w:color="auto" w:sz="4" w:space="0"/>
              <w:left w:val="single" w:color="auto" w:sz="4" w:space="0"/>
            </w:tcBorders>
            <w:shd w:val="clear" w:color="auto" w:fill="FFFFFF"/>
            <w:textDirection w:val="tbRlV"/>
          </w:tcPr>
          <w:p w14:paraId="6C2C5DD4">
            <w:pPr>
              <w:pStyle w:val="12"/>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47" w:type="pct"/>
            <w:tcBorders>
              <w:top w:val="single" w:color="auto" w:sz="4" w:space="0"/>
              <w:left w:val="single" w:color="auto" w:sz="4" w:space="0"/>
            </w:tcBorders>
            <w:shd w:val="clear" w:color="auto" w:fill="FFFFFF"/>
            <w:vAlign w:val="center"/>
          </w:tcPr>
          <w:p w14:paraId="6C4A232A">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47" w:type="pct"/>
            <w:tcBorders>
              <w:top w:val="single" w:color="auto" w:sz="4" w:space="0"/>
              <w:left w:val="single" w:color="auto" w:sz="4" w:space="0"/>
            </w:tcBorders>
            <w:shd w:val="clear" w:color="auto" w:fill="FFFFFF"/>
            <w:vAlign w:val="center"/>
          </w:tcPr>
          <w:p w14:paraId="60638F7F">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47" w:type="pct"/>
            <w:tcBorders>
              <w:top w:val="single" w:color="auto" w:sz="4" w:space="0"/>
              <w:left w:val="single" w:color="auto" w:sz="4" w:space="0"/>
            </w:tcBorders>
            <w:shd w:val="clear" w:color="auto" w:fill="FFFFFF"/>
            <w:vAlign w:val="center"/>
          </w:tcPr>
          <w:p w14:paraId="0F86A135">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47" w:type="pct"/>
            <w:tcBorders>
              <w:top w:val="single" w:color="auto" w:sz="4" w:space="0"/>
              <w:left w:val="single" w:color="auto" w:sz="4" w:space="0"/>
            </w:tcBorders>
            <w:shd w:val="clear" w:color="auto" w:fill="FFFFFF"/>
            <w:vAlign w:val="center"/>
          </w:tcPr>
          <w:p w14:paraId="7717C7C3">
            <w:pPr>
              <w:pStyle w:val="14"/>
              <w:keepNext w:val="0"/>
              <w:keepLines w:val="0"/>
              <w:pageBreakBefore w:val="0"/>
              <w:widowControl w:val="0"/>
              <w:kinsoku/>
              <w:wordWrap/>
              <w:overflowPunct/>
              <w:topLinePunct w:val="0"/>
              <w:autoSpaceDE/>
              <w:autoSpaceDN/>
              <w:bidi w:val="0"/>
              <w:adjustRightInd/>
              <w:snapToGrid w:val="0"/>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279" w:type="pct"/>
            <w:tcBorders>
              <w:top w:val="single" w:color="auto" w:sz="4" w:space="0"/>
              <w:left w:val="single" w:color="auto" w:sz="4" w:space="0"/>
              <w:right w:val="single" w:color="auto" w:sz="4" w:space="0"/>
            </w:tcBorders>
            <w:shd w:val="clear" w:color="auto" w:fill="FFFFFF"/>
            <w:textDirection w:val="tbRlV"/>
          </w:tcPr>
          <w:p w14:paraId="2D0BAF0D">
            <w:pPr>
              <w:pStyle w:val="12"/>
              <w:keepNext w:val="0"/>
              <w:keepLines w:val="0"/>
              <w:pageBreakBefore w:val="0"/>
              <w:widowControl w:val="0"/>
              <w:kinsoku/>
              <w:wordWrap/>
              <w:overflowPunct/>
              <w:topLinePunct w:val="0"/>
              <w:autoSpaceDE/>
              <w:autoSpaceDN/>
              <w:bidi w:val="0"/>
              <w:adjustRightInd/>
              <w:snapToGrid w:val="0"/>
              <w:spacing w:before="0" w:line="44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474482AC">
        <w:tblPrEx>
          <w:tblCellMar>
            <w:top w:w="0" w:type="dxa"/>
            <w:left w:w="10" w:type="dxa"/>
            <w:bottom w:w="0" w:type="dxa"/>
            <w:right w:w="10" w:type="dxa"/>
          </w:tblCellMar>
        </w:tblPrEx>
        <w:trPr>
          <w:trHeight w:val="0" w:hRule="atLeast"/>
          <w:jc w:val="center"/>
        </w:trPr>
        <w:tc>
          <w:tcPr>
            <w:tcW w:w="346" w:type="pct"/>
            <w:tcBorders>
              <w:top w:val="single" w:color="auto" w:sz="4" w:space="0"/>
              <w:left w:val="single" w:color="auto" w:sz="4" w:space="0"/>
              <w:bottom w:val="single" w:color="auto" w:sz="4" w:space="0"/>
            </w:tcBorders>
            <w:shd w:val="clear" w:color="auto" w:fill="FFFFFF"/>
            <w:vAlign w:val="center"/>
          </w:tcPr>
          <w:p w14:paraId="62C6678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5040586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2F8660F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663C584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276" w:type="pct"/>
            <w:tcBorders>
              <w:top w:val="single" w:color="auto" w:sz="4" w:space="0"/>
              <w:left w:val="single" w:color="auto" w:sz="4" w:space="0"/>
              <w:bottom w:val="single" w:color="auto" w:sz="4" w:space="0"/>
            </w:tcBorders>
            <w:shd w:val="clear" w:color="auto" w:fill="FFFFFF"/>
            <w:vAlign w:val="center"/>
          </w:tcPr>
          <w:p w14:paraId="4667EAD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79F799E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05CC059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5DCD15F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00629105">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279" w:type="pct"/>
            <w:tcBorders>
              <w:top w:val="single" w:color="auto" w:sz="4" w:space="0"/>
              <w:left w:val="single" w:color="auto" w:sz="4" w:space="0"/>
              <w:bottom w:val="single" w:color="auto" w:sz="4" w:space="0"/>
            </w:tcBorders>
            <w:shd w:val="clear" w:color="auto" w:fill="FFFFFF"/>
            <w:vAlign w:val="center"/>
          </w:tcPr>
          <w:p w14:paraId="76F8DB1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0A3999B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62C86BB1">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1D9C430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347" w:type="pct"/>
            <w:tcBorders>
              <w:top w:val="single" w:color="auto" w:sz="4" w:space="0"/>
              <w:left w:val="single" w:color="auto" w:sz="4" w:space="0"/>
              <w:bottom w:val="single" w:color="auto" w:sz="4" w:space="0"/>
            </w:tcBorders>
            <w:shd w:val="clear" w:color="auto" w:fill="FFFFFF"/>
            <w:vAlign w:val="center"/>
          </w:tcPr>
          <w:p w14:paraId="1A72AC5B">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c>
          <w:tcPr>
            <w:tcW w:w="279" w:type="pct"/>
            <w:tcBorders>
              <w:top w:val="single" w:color="auto" w:sz="4" w:space="0"/>
              <w:left w:val="single" w:color="auto" w:sz="4" w:space="0"/>
              <w:bottom w:val="single" w:color="auto" w:sz="4" w:space="0"/>
              <w:right w:val="single" w:color="auto" w:sz="4" w:space="0"/>
            </w:tcBorders>
            <w:shd w:val="clear" w:color="auto" w:fill="FFFFFF"/>
            <w:vAlign w:val="center"/>
          </w:tcPr>
          <w:p w14:paraId="15CEB71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0</w:t>
            </w:r>
          </w:p>
        </w:tc>
      </w:tr>
    </w:tbl>
    <w:p w14:paraId="6D313D22">
      <w:pPr>
        <w:pStyle w:val="1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五、存在的主要问题及改进情况</w:t>
      </w:r>
    </w:p>
    <w:p w14:paraId="460B258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bookmarkStart w:id="9" w:name="OLE_LINK1"/>
      <w:r>
        <w:rPr>
          <w:rFonts w:hint="default" w:ascii="Times New Roman" w:hAnsi="Times New Roman" w:eastAsia="楷体_GB2312" w:cs="Times New Roman"/>
          <w:bCs/>
          <w:color w:val="auto"/>
          <w:sz w:val="32"/>
          <w:szCs w:val="32"/>
          <w:highlight w:val="none"/>
          <w:lang w:val="en-US" w:eastAsia="zh-CN"/>
        </w:rPr>
        <w:t>（一）2024年存在问题整改情况</w:t>
      </w:r>
    </w:p>
    <w:p w14:paraId="1A4DB3F3">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highlight w:val="yellow"/>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针对2024年在政务公开工作中存在的政策解读形式较为单一、公众互动参与渠道不够通畅、部分领域信息公开深度有待加强等问题，街道坚持以问题为导向，深入剖析原因，扎实推进各项整改措施落实，着力提升政务公开工作质效：</w:t>
      </w:r>
      <w:r>
        <w:rPr>
          <w:rFonts w:hint="default" w:ascii="Times New Roman" w:hAnsi="Times New Roman" w:eastAsia="宋体" w:cs="Times New Roman"/>
          <w:color w:val="auto"/>
          <w:sz w:val="32"/>
          <w:szCs w:val="32"/>
          <w:highlight w:val="none"/>
          <w:shd w:val="clear" w:color="auto" w:fill="FFFFFF"/>
          <w:lang w:val="en-US" w:eastAsia="zh-CN"/>
        </w:rPr>
        <w:t>一是创新解读方式</w:t>
      </w:r>
      <w:r>
        <w:rPr>
          <w:rFonts w:hint="default" w:ascii="Times New Roman" w:hAnsi="Times New Roman" w:eastAsia="仿宋_GB2312" w:cs="Times New Roman"/>
          <w:color w:val="auto"/>
          <w:sz w:val="32"/>
          <w:szCs w:val="32"/>
          <w:highlight w:val="none"/>
          <w:shd w:val="clear" w:color="auto" w:fill="FFFFFF"/>
          <w:lang w:val="en-US" w:eastAsia="zh-CN"/>
        </w:rPr>
        <w:t>，运用图文、视频等多种形式提升政策可读性；</w:t>
      </w:r>
      <w:r>
        <w:rPr>
          <w:rFonts w:hint="default" w:ascii="Times New Roman" w:hAnsi="Times New Roman" w:eastAsia="宋体" w:cs="Times New Roman"/>
          <w:color w:val="auto"/>
          <w:sz w:val="32"/>
          <w:szCs w:val="32"/>
          <w:highlight w:val="none"/>
          <w:shd w:val="clear" w:color="auto" w:fill="FFFFFF"/>
          <w:lang w:val="en-US" w:eastAsia="zh-CN"/>
        </w:rPr>
        <w:t>二是拓宽互动渠道</w:t>
      </w:r>
      <w:r>
        <w:rPr>
          <w:rFonts w:hint="default" w:ascii="Times New Roman" w:hAnsi="Times New Roman" w:eastAsia="仿宋_GB2312" w:cs="Times New Roman"/>
          <w:color w:val="auto"/>
          <w:sz w:val="32"/>
          <w:szCs w:val="32"/>
          <w:highlight w:val="none"/>
          <w:shd w:val="clear" w:color="auto" w:fill="FFFFFF"/>
          <w:lang w:val="en-US" w:eastAsia="zh-CN"/>
        </w:rPr>
        <w:t>，优化线上线下平台，及时回应群众关切；</w:t>
      </w:r>
      <w:r>
        <w:rPr>
          <w:rFonts w:hint="default" w:ascii="Times New Roman" w:hAnsi="Times New Roman" w:eastAsia="宋体" w:cs="Times New Roman"/>
          <w:color w:val="auto"/>
          <w:sz w:val="32"/>
          <w:szCs w:val="32"/>
          <w:highlight w:val="none"/>
          <w:shd w:val="clear" w:color="auto" w:fill="FFFFFF"/>
          <w:lang w:val="en-US" w:eastAsia="zh-CN"/>
        </w:rPr>
        <w:t>三是深化重点领域信息公开</w:t>
      </w:r>
      <w:r>
        <w:rPr>
          <w:rFonts w:hint="default" w:ascii="Times New Roman" w:hAnsi="Times New Roman" w:eastAsia="仿宋_GB2312" w:cs="Times New Roman"/>
          <w:color w:val="auto"/>
          <w:sz w:val="32"/>
          <w:szCs w:val="32"/>
          <w:highlight w:val="none"/>
          <w:shd w:val="clear" w:color="auto" w:fill="FFFFFF"/>
          <w:lang w:val="en-US" w:eastAsia="zh-CN"/>
        </w:rPr>
        <w:t>，细化内容标准，加强过程与结果公开；</w:t>
      </w:r>
      <w:r>
        <w:rPr>
          <w:rFonts w:hint="default" w:ascii="Times New Roman" w:hAnsi="Times New Roman" w:eastAsia="宋体" w:cs="Times New Roman"/>
          <w:color w:val="auto"/>
          <w:sz w:val="32"/>
          <w:szCs w:val="32"/>
          <w:highlight w:val="none"/>
          <w:shd w:val="clear" w:color="auto" w:fill="FFFFFF"/>
          <w:lang w:val="en-US" w:eastAsia="zh-CN"/>
        </w:rPr>
        <w:t>四是健全长效机制</w:t>
      </w:r>
      <w:r>
        <w:rPr>
          <w:rFonts w:hint="default" w:ascii="Times New Roman" w:hAnsi="Times New Roman" w:eastAsia="仿宋_GB2312" w:cs="Times New Roman"/>
          <w:color w:val="auto"/>
          <w:sz w:val="32"/>
          <w:szCs w:val="32"/>
          <w:highlight w:val="none"/>
          <w:shd w:val="clear" w:color="auto" w:fill="FFFFFF"/>
          <w:lang w:val="en-US" w:eastAsia="zh-CN"/>
        </w:rPr>
        <w:t>，加强队伍建设与考核，通过整改，公开实效与公众参与度、满意度得到有效提升，持续提升政务公开工作规范化水平。</w:t>
      </w:r>
    </w:p>
    <w:bookmarkEnd w:id="9"/>
    <w:p w14:paraId="1B80BBD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（二）</w:t>
      </w:r>
      <w:bookmarkStart w:id="10" w:name="OLE_LINK2"/>
      <w:r>
        <w:rPr>
          <w:rFonts w:hint="default" w:ascii="Times New Roman" w:hAnsi="Times New Roman" w:eastAsia="楷体_GB2312" w:cs="Times New Roman"/>
          <w:bCs/>
          <w:color w:val="auto"/>
          <w:sz w:val="32"/>
          <w:szCs w:val="32"/>
          <w:highlight w:val="none"/>
          <w:lang w:val="en-US" w:eastAsia="zh-CN"/>
        </w:rPr>
        <w:t>2025年存在问题</w:t>
      </w:r>
      <w:bookmarkEnd w:id="10"/>
    </w:p>
    <w:p w14:paraId="69038C3D">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一是信息深度与实用性有待加强。</w:t>
      </w:r>
      <w:r>
        <w:rPr>
          <w:rFonts w:hint="default" w:ascii="Times New Roman" w:hAnsi="Times New Roman" w:eastAsia="仿宋_GB2312" w:cs="Times New Roman"/>
          <w:color w:val="auto"/>
          <w:sz w:val="32"/>
          <w:szCs w:val="32"/>
          <w:highlight w:val="none"/>
          <w:shd w:val="clear" w:color="auto" w:fill="FFFFFF"/>
          <w:lang w:val="en-US" w:eastAsia="zh-CN"/>
        </w:rPr>
        <w:t>目前，公开的信息在数量上</w:t>
      </w:r>
      <w:r>
        <w:rPr>
          <w:rFonts w:hint="eastAsia" w:eastAsia="仿宋_GB2312" w:cs="Times New Roman"/>
          <w:color w:val="auto"/>
          <w:sz w:val="32"/>
          <w:szCs w:val="32"/>
          <w:highlight w:val="none"/>
          <w:shd w:val="clear" w:color="auto" w:fill="FFFFFF"/>
          <w:lang w:val="en-US" w:eastAsia="zh-CN"/>
        </w:rPr>
        <w:t>较多</w:t>
      </w:r>
      <w:r>
        <w:rPr>
          <w:rFonts w:hint="default" w:ascii="Times New Roman" w:hAnsi="Times New Roman" w:eastAsia="仿宋_GB2312" w:cs="Times New Roman"/>
          <w:color w:val="auto"/>
          <w:sz w:val="32"/>
          <w:szCs w:val="32"/>
          <w:highlight w:val="none"/>
          <w:shd w:val="clear" w:color="auto" w:fill="FFFFFF"/>
          <w:lang w:val="en-US" w:eastAsia="zh-CN"/>
        </w:rPr>
        <w:t>，然而部分内容仅浮于表面，缺乏深度，像关键决策流程、政策制定依据、专项资金具体使用情况等核心信息披露不足；此外，信息展示形式单调，未依据公众需求进行合理分类与阐释，使得信息的实用价值与获取便捷性大打折扣。</w:t>
      </w:r>
    </w:p>
    <w:p w14:paraId="12B650A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二是信息公开时效性有待进一步提升。</w:t>
      </w:r>
      <w:r>
        <w:rPr>
          <w:rFonts w:hint="default" w:ascii="Times New Roman" w:hAnsi="Times New Roman" w:eastAsia="仿宋_GB2312" w:cs="Times New Roman"/>
          <w:color w:val="auto"/>
          <w:sz w:val="32"/>
          <w:szCs w:val="32"/>
          <w:highlight w:val="none"/>
          <w:shd w:val="clear" w:color="auto" w:fill="FFFFFF"/>
          <w:lang w:val="en-US" w:eastAsia="zh-CN"/>
        </w:rPr>
        <w:t>某些领域的信息，从产生到公开所经历的时间过长，未能完全满足公众对信息“快知悉”的需求。</w:t>
      </w:r>
    </w:p>
    <w:p w14:paraId="2C654299">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三是公开平台渠道的整合与便捷性有待优化。</w:t>
      </w:r>
      <w:r>
        <w:rPr>
          <w:rFonts w:hint="default" w:ascii="Times New Roman" w:hAnsi="Times New Roman" w:eastAsia="仿宋_GB2312" w:cs="Times New Roman"/>
          <w:color w:val="auto"/>
          <w:sz w:val="32"/>
          <w:szCs w:val="32"/>
          <w:highlight w:val="none"/>
          <w:shd w:val="clear" w:color="auto" w:fill="FFFFFF"/>
          <w:lang w:val="en-US" w:eastAsia="zh-CN"/>
        </w:rPr>
        <w:t>部分平台存在信息更新不同步、分类不统一、检索功能不完善等问题，影响公众获取信息的体验和效率。</w:t>
      </w:r>
    </w:p>
    <w:p w14:paraId="373DE3C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（三）改进措施</w:t>
      </w:r>
    </w:p>
    <w:p w14:paraId="1B0A9D85">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一是深化内容供给，提升信息质量与实用性。</w:t>
      </w:r>
      <w:r>
        <w:rPr>
          <w:rFonts w:hint="default" w:ascii="Times New Roman" w:hAnsi="Times New Roman" w:eastAsia="仿宋_GB2312" w:cs="Times New Roman"/>
          <w:color w:val="auto"/>
          <w:sz w:val="32"/>
          <w:szCs w:val="32"/>
          <w:highlight w:val="none"/>
          <w:shd w:val="clear" w:color="auto" w:fill="FFFFFF"/>
          <w:lang w:val="en-US" w:eastAsia="zh-CN"/>
        </w:rPr>
        <w:t>建立健全重点领域信息深度公开清单，主动公开关键决策过程、专项资金使用明细及绩效等核心内</w:t>
      </w:r>
      <w:r>
        <w:rPr>
          <w:rFonts w:hint="eastAsia" w:ascii="仿宋_GB2312" w:hAnsi="仿宋_GB2312" w:eastAsia="仿宋_GB2312" w:cs="仿宋_GB2312"/>
          <w:color w:val="auto"/>
          <w:sz w:val="32"/>
          <w:szCs w:val="32"/>
          <w:highlight w:val="none"/>
          <w:shd w:val="clear" w:color="auto" w:fill="FFFFFF"/>
          <w:lang w:val="en-US" w:eastAsia="zh-CN"/>
        </w:rPr>
        <w:t>容。同时，推行“政策发布与解读材料同步”机制，采用图文、案例</w:t>
      </w:r>
      <w:r>
        <w:rPr>
          <w:rFonts w:hint="default" w:ascii="Times New Roman" w:hAnsi="Times New Roman" w:eastAsia="仿宋_GB2312" w:cs="Times New Roman"/>
          <w:color w:val="auto"/>
          <w:sz w:val="32"/>
          <w:szCs w:val="32"/>
          <w:highlight w:val="none"/>
          <w:shd w:val="clear" w:color="auto" w:fill="FFFFFF"/>
          <w:lang w:val="en-US" w:eastAsia="zh-CN"/>
        </w:rPr>
        <w:t>、视频等多种形式增强解读效果，并围绕公众关切整合形成专题信息产品。</w:t>
      </w:r>
    </w:p>
    <w:p w14:paraId="718B34C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二是提升时效管理，健全主动公开目录动态更新机制。</w:t>
      </w:r>
      <w:r>
        <w:rPr>
          <w:rFonts w:hint="default" w:ascii="Times New Roman" w:hAnsi="Times New Roman" w:eastAsia="仿宋_GB2312" w:cs="Times New Roman"/>
          <w:color w:val="auto"/>
          <w:sz w:val="32"/>
          <w:szCs w:val="32"/>
          <w:highlight w:val="none"/>
          <w:shd w:val="clear" w:color="auto" w:fill="FFFFFF"/>
          <w:lang w:val="en-US" w:eastAsia="zh-CN"/>
        </w:rPr>
        <w:t>紧扣企业与群众办事的实际需求，对办事指南、惠民惠企政策集锦等实用信息进行系统梳理与优化，增强信息服务的精准度和实效性。</w:t>
      </w:r>
    </w:p>
    <w:p w14:paraId="099E769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outlineLvl w:val="9"/>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宋体" w:cs="Times New Roman"/>
          <w:color w:val="auto"/>
          <w:sz w:val="32"/>
          <w:szCs w:val="32"/>
          <w:highlight w:val="none"/>
          <w:shd w:val="clear" w:color="auto" w:fill="FFFFFF"/>
          <w:lang w:val="en-US" w:eastAsia="zh-CN"/>
        </w:rPr>
        <w:t>三是优化平台功能，推进多渠道融合发展。</w:t>
      </w:r>
      <w:r>
        <w:rPr>
          <w:rFonts w:hint="default" w:ascii="Times New Roman" w:hAnsi="Times New Roman" w:eastAsia="仿宋_GB2312" w:cs="Times New Roman"/>
          <w:color w:val="auto"/>
          <w:sz w:val="32"/>
          <w:szCs w:val="32"/>
          <w:highlight w:val="none"/>
          <w:shd w:val="clear" w:color="auto" w:fill="FFFFFF"/>
          <w:lang w:val="en-US" w:eastAsia="zh-CN"/>
        </w:rPr>
        <w:t>加大政务新媒体矩阵的建设与管理力度，确保重要信息实现源头统一发布、各平台协同运作。同时，在政务服务大厅等区域规范设立信息公开查询点，为公众提供便利的查询体验。</w:t>
      </w:r>
    </w:p>
    <w:p w14:paraId="4684E4E8">
      <w:pPr>
        <w:pStyle w:val="1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val="en-US" w:eastAsia="zh-CN"/>
        </w:rPr>
        <w:t>六、其他需要报告的事项</w:t>
      </w:r>
    </w:p>
    <w:p w14:paraId="62B3A8C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（一）收取信息处理费的情况</w:t>
      </w:r>
    </w:p>
    <w:p w14:paraId="727494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zh-TW"/>
        </w:rPr>
      </w:pPr>
      <w:r>
        <w:rPr>
          <w:rFonts w:hint="default" w:ascii="Times New Roman" w:hAnsi="Times New Roman" w:eastAsia="仿宋_GB2312" w:cs="Times New Roman"/>
          <w:color w:val="auto"/>
          <w:kern w:val="0"/>
          <w:sz w:val="32"/>
          <w:szCs w:val="32"/>
          <w:highlight w:val="none"/>
          <w:shd w:val="clear" w:color="auto" w:fill="FFFFFF"/>
          <w:lang w:val="en-US" w:eastAsia="zh-CN" w:bidi="zh-TW"/>
        </w:rPr>
        <w:t>本年度无依申请公开政府信息而收取信息处理费情况。</w:t>
      </w:r>
    </w:p>
    <w:p w14:paraId="6D8B3BA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（二）落实上级年度政务公开工作要点情况</w:t>
      </w:r>
    </w:p>
    <w:p w14:paraId="53A3A461">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zh-TW"/>
        </w:rPr>
      </w:pPr>
      <w:r>
        <w:rPr>
          <w:rFonts w:hint="default" w:ascii="Times New Roman" w:hAnsi="Times New Roman" w:eastAsia="仿宋_GB2312" w:cs="Times New Roman"/>
          <w:color w:val="auto"/>
          <w:kern w:val="0"/>
          <w:sz w:val="32"/>
          <w:szCs w:val="32"/>
          <w:highlight w:val="none"/>
          <w:shd w:val="clear" w:color="auto" w:fill="FFFFFF"/>
          <w:lang w:val="en-US" w:eastAsia="zh-CN" w:bidi="zh-TW"/>
        </w:rPr>
        <w:t>矿区街道强化制度保障，严格落实</w:t>
      </w:r>
      <w:r>
        <w:rPr>
          <w:rFonts w:hint="eastAsia" w:eastAsia="仿宋_GB2312" w:cs="Times New Roman"/>
          <w:color w:val="auto"/>
          <w:kern w:val="0"/>
          <w:sz w:val="32"/>
          <w:szCs w:val="32"/>
          <w:highlight w:val="none"/>
          <w:shd w:val="clear" w:color="auto" w:fill="FFFFFF"/>
          <w:lang w:val="en-US" w:eastAsia="zh-CN" w:bidi="zh-TW"/>
        </w:rPr>
        <w:t>各项工作要求</w:t>
      </w:r>
      <w:r>
        <w:rPr>
          <w:rFonts w:hint="default" w:ascii="Times New Roman" w:hAnsi="Times New Roman" w:eastAsia="仿宋_GB2312" w:cs="Times New Roman"/>
          <w:color w:val="auto"/>
          <w:kern w:val="0"/>
          <w:sz w:val="32"/>
          <w:szCs w:val="32"/>
          <w:highlight w:val="none"/>
          <w:shd w:val="clear" w:color="auto" w:fill="FFFFFF"/>
          <w:lang w:val="en-US" w:eastAsia="zh-CN" w:bidi="zh-TW"/>
        </w:rPr>
        <w:t>，结合自身实际，进一步健全组织领导体制，构建了“主要领导带头做，分管领导具体抓，专职人员认真办，相关科室主动帮”的工作格局，保证了新媒体政务公开工作及时分配到岗、责任到人、落实到位。</w:t>
      </w:r>
    </w:p>
    <w:p w14:paraId="28A58A5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（三）人大代表建议和政协委员提案办理情况</w:t>
      </w:r>
    </w:p>
    <w:p w14:paraId="34DEB80F">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zh-TW"/>
        </w:rPr>
      </w:pPr>
      <w:r>
        <w:rPr>
          <w:rFonts w:hint="default" w:ascii="Times New Roman" w:hAnsi="Times New Roman" w:eastAsia="仿宋_GB2312" w:cs="Times New Roman"/>
          <w:color w:val="auto"/>
          <w:kern w:val="0"/>
          <w:sz w:val="32"/>
          <w:szCs w:val="32"/>
          <w:highlight w:val="none"/>
          <w:shd w:val="clear" w:color="auto" w:fill="FFFFFF"/>
          <w:lang w:val="en-US" w:eastAsia="zh-CN" w:bidi="zh-TW"/>
        </w:rPr>
        <w:t>2025年，市中区矿区街道共收到区人大代表建议5件，已全部在规定时限内办理答复完毕，办结答复率、满意率均为100%。市中区矿区街道共收到政协委员提案20件，其中市政协委员提案1件，区政协委员提案19件，包含2件重点提案，涵盖经济建设、政治建设、文化建设、社会建设和生态文明建设等多个方面，我街道均为协办，目前已办理完成并答复主办单位，办结答复率、满意率均为100%。</w:t>
      </w:r>
    </w:p>
    <w:p w14:paraId="1591D04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（四）</w:t>
      </w:r>
      <w:bookmarkStart w:id="11" w:name="OLE_LINK3"/>
      <w:r>
        <w:rPr>
          <w:rFonts w:hint="default" w:ascii="Times New Roman" w:hAnsi="Times New Roman" w:eastAsia="楷体_GB2312" w:cs="Times New Roman"/>
          <w:bCs/>
          <w:color w:val="auto"/>
          <w:sz w:val="32"/>
          <w:szCs w:val="32"/>
          <w:highlight w:val="none"/>
          <w:lang w:val="en-US" w:eastAsia="zh-CN"/>
        </w:rPr>
        <w:t>本行政机关年度政务公开工作创新情况</w:t>
      </w:r>
      <w:bookmarkEnd w:id="11"/>
    </w:p>
    <w:p w14:paraId="6B604916">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2025年度，街道</w:t>
      </w:r>
      <w:r>
        <w:rPr>
          <w:rFonts w:hint="default" w:ascii="Times New Roman" w:hAnsi="Times New Roman" w:eastAsia="仿宋_GB2312" w:cs="Times New Roman"/>
          <w:sz w:val="32"/>
        </w:rPr>
        <w:t>为进一步搭建沟通桥梁，扎实推进政民互动，加快推进阳光、透明、开放、服务型政府建设开展了政府开放月活动</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居民代表们先后参观了矿区街道便民服务中心、“中兴YI家”志愿服务基地，“零距离”了解了街道近年来在民生服务、营商环境优化及基层社会治理等方面工作开展情况</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切实保障人民群众的知情权、参与权和监督权。</w:t>
      </w:r>
    </w:p>
    <w:p w14:paraId="44871D3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outlineLvl w:val="9"/>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楷体_GB2312" w:cs="Times New Roman"/>
          <w:bCs/>
          <w:color w:val="auto"/>
          <w:sz w:val="32"/>
          <w:szCs w:val="32"/>
          <w:highlight w:val="none"/>
          <w:lang w:val="en-US" w:eastAsia="zh-CN"/>
        </w:rPr>
        <w:t>（五）其他需要报告事项</w:t>
      </w:r>
    </w:p>
    <w:p w14:paraId="2DF0EF9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eastAsia="zh-CN"/>
        </w:rPr>
        <w:t>本报告所列数据的统计时限自202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年1月1日</w:t>
      </w:r>
      <w:r>
        <w:rPr>
          <w:rFonts w:hint="default" w:ascii="Times New Roman" w:hAnsi="Times New Roman" w:eastAsia="仿宋_GB2312" w:cs="Times New Roman"/>
          <w:color w:val="auto"/>
          <w:sz w:val="32"/>
          <w:szCs w:val="32"/>
          <w:highlight w:val="none"/>
          <w:shd w:val="clear" w:color="auto" w:fill="FFFFFF"/>
          <w:lang w:val="en-US" w:eastAsia="zh-CN"/>
        </w:rPr>
        <w:t>起</w:t>
      </w:r>
      <w:r>
        <w:rPr>
          <w:rFonts w:hint="default" w:ascii="Times New Roman" w:hAnsi="Times New Roman" w:eastAsia="仿宋_GB2312" w:cs="Times New Roman"/>
          <w:color w:val="auto"/>
          <w:sz w:val="32"/>
          <w:szCs w:val="32"/>
          <w:highlight w:val="none"/>
          <w:shd w:val="clear" w:color="auto" w:fill="FFFFFF"/>
          <w:lang w:eastAsia="zh-CN"/>
        </w:rPr>
        <w:t>至202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年12月31日</w:t>
      </w:r>
      <w:r>
        <w:rPr>
          <w:rFonts w:hint="default" w:ascii="Times New Roman" w:hAnsi="Times New Roman" w:eastAsia="仿宋_GB2312" w:cs="Times New Roman"/>
          <w:color w:val="auto"/>
          <w:sz w:val="32"/>
          <w:szCs w:val="32"/>
          <w:highlight w:val="none"/>
          <w:shd w:val="clear" w:color="auto" w:fill="FFFFFF"/>
          <w:lang w:val="en-US" w:eastAsia="zh-CN"/>
        </w:rPr>
        <w:t>止</w:t>
      </w:r>
      <w:r>
        <w:rPr>
          <w:rFonts w:hint="default" w:ascii="Times New Roman" w:hAnsi="Times New Roman" w:eastAsia="仿宋_GB2312" w:cs="Times New Roman"/>
          <w:color w:val="auto"/>
          <w:sz w:val="32"/>
          <w:szCs w:val="32"/>
          <w:highlight w:val="none"/>
          <w:shd w:val="clear" w:color="auto" w:fill="FFFFFF"/>
          <w:lang w:eastAsia="zh-CN"/>
        </w:rPr>
        <w:t>。如对本报告有疑问，可与市中区矿区街道办事处联系（地址：</w:t>
      </w:r>
      <w:r>
        <w:rPr>
          <w:rFonts w:hint="default" w:ascii="Times New Roman" w:hAnsi="Times New Roman" w:eastAsia="仿宋_GB2312" w:cs="Times New Roman"/>
          <w:color w:val="auto"/>
          <w:sz w:val="32"/>
          <w:szCs w:val="32"/>
          <w:highlight w:val="none"/>
          <w:shd w:val="clear" w:color="auto" w:fill="FFFFFF"/>
          <w:lang w:val="en-US" w:eastAsia="zh-CN"/>
        </w:rPr>
        <w:t>枣庄市市中区解放北路1号</w:t>
      </w:r>
      <w:r>
        <w:rPr>
          <w:rFonts w:hint="default" w:ascii="Times New Roman" w:hAnsi="Times New Roman" w:eastAsia="仿宋_GB2312" w:cs="Times New Roman"/>
          <w:color w:val="auto"/>
          <w:sz w:val="32"/>
          <w:szCs w:val="32"/>
          <w:highlight w:val="none"/>
          <w:shd w:val="clear" w:color="auto" w:fill="FFFFFF"/>
          <w:lang w:eastAsia="zh-CN"/>
        </w:rPr>
        <w:t>，邮编：</w:t>
      </w:r>
      <w:r>
        <w:rPr>
          <w:rFonts w:hint="default" w:ascii="Times New Roman" w:hAnsi="Times New Roman" w:eastAsia="仿宋_GB2312" w:cs="Times New Roman"/>
          <w:color w:val="auto"/>
          <w:sz w:val="32"/>
          <w:szCs w:val="32"/>
          <w:highlight w:val="none"/>
          <w:shd w:val="clear" w:color="auto" w:fill="FFFFFF"/>
          <w:lang w:val="en-US" w:eastAsia="zh-CN"/>
        </w:rPr>
        <w:t>277100</w:t>
      </w:r>
      <w:r>
        <w:rPr>
          <w:rFonts w:hint="default" w:ascii="Times New Roman" w:hAnsi="Times New Roman" w:eastAsia="仿宋_GB2312" w:cs="Times New Roman"/>
          <w:color w:val="auto"/>
          <w:sz w:val="32"/>
          <w:szCs w:val="32"/>
          <w:highlight w:val="none"/>
          <w:shd w:val="clear" w:color="auto" w:fill="FFFFFF"/>
          <w:lang w:eastAsia="zh-CN"/>
        </w:rPr>
        <w:t>，电话：</w:t>
      </w:r>
      <w:r>
        <w:rPr>
          <w:rFonts w:hint="default" w:ascii="Times New Roman" w:hAnsi="Times New Roman" w:eastAsia="仿宋_GB2312" w:cs="Times New Roman"/>
          <w:color w:val="auto"/>
          <w:sz w:val="32"/>
          <w:szCs w:val="32"/>
          <w:highlight w:val="none"/>
          <w:shd w:val="clear" w:color="auto" w:fill="FFFFFF"/>
          <w:lang w:val="en-US" w:eastAsia="zh-CN"/>
        </w:rPr>
        <w:t>0632-8022900</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电子邮箱：</w:t>
      </w:r>
      <w:r>
        <w:rPr>
          <w:rFonts w:hint="default" w:ascii="Times New Roman" w:hAnsi="Times New Roman" w:eastAsia="仿宋_GB2312" w:cs="Times New Roman"/>
          <w:color w:val="auto"/>
          <w:sz w:val="32"/>
          <w:szCs w:val="32"/>
          <w:highlight w:val="none"/>
          <w:shd w:val="clear" w:color="auto" w:fill="FFFFFF"/>
          <w:lang w:val="en-US" w:eastAsia="zh-CN"/>
        </w:rPr>
        <w:fldChar w:fldCharType="begin"/>
      </w:r>
      <w:r>
        <w:rPr>
          <w:rFonts w:hint="default" w:ascii="Times New Roman" w:hAnsi="Times New Roman" w:eastAsia="仿宋_GB2312" w:cs="Times New Roman"/>
          <w:color w:val="auto"/>
          <w:sz w:val="32"/>
          <w:szCs w:val="32"/>
          <w:highlight w:val="none"/>
          <w:shd w:val="clear" w:color="auto" w:fill="FFFFFF"/>
          <w:lang w:val="en-US" w:eastAsia="zh-CN"/>
        </w:rPr>
        <w:instrText xml:space="preserve"> HYPERLINK "mailto:htqzfzwgkk@wf.shandong.cn%E3%80%82" </w:instrText>
      </w:r>
      <w:r>
        <w:rPr>
          <w:rFonts w:hint="default" w:ascii="Times New Roman" w:hAnsi="Times New Roman" w:eastAsia="仿宋_GB2312" w:cs="Times New Roman"/>
          <w:color w:val="auto"/>
          <w:sz w:val="32"/>
          <w:szCs w:val="32"/>
          <w:highlight w:val="none"/>
          <w:shd w:val="clear" w:color="auto" w:fill="FFFFFF"/>
          <w:lang w:val="en-US" w:eastAsia="zh-CN"/>
        </w:rPr>
        <w:fldChar w:fldCharType="separate"/>
      </w:r>
      <w:r>
        <w:rPr>
          <w:rFonts w:hint="default" w:ascii="Times New Roman" w:hAnsi="Times New Roman" w:eastAsia="仿宋_GB2312" w:cs="Times New Roman"/>
          <w:color w:val="auto"/>
          <w:sz w:val="32"/>
          <w:szCs w:val="32"/>
          <w:highlight w:val="none"/>
          <w:shd w:val="clear" w:color="auto" w:fill="FFFFFF"/>
          <w:lang w:val="en-US" w:eastAsia="zh-CN"/>
        </w:rPr>
        <w:t>szqkqjdbscadmin</w:t>
      </w:r>
      <w:r>
        <w:rPr>
          <w:rFonts w:hint="default" w:ascii="Times New Roman" w:hAnsi="Times New Roman" w:eastAsia="仿宋_GB2312" w:cs="Times New Roman"/>
          <w:color w:val="auto"/>
          <w:sz w:val="32"/>
          <w:szCs w:val="32"/>
          <w:highlight w:val="none"/>
          <w:shd w:val="clear" w:color="auto" w:fill="FFFFFF"/>
          <w:lang w:eastAsia="zh-CN"/>
        </w:rPr>
        <w:t>@zz.shandong.cn</w:t>
      </w:r>
      <w:r>
        <w:rPr>
          <w:rFonts w:hint="default" w:ascii="Times New Roman" w:hAnsi="Times New Roman" w:eastAsia="仿宋_GB2312" w:cs="Times New Roman"/>
          <w:color w:val="auto"/>
          <w:sz w:val="32"/>
          <w:szCs w:val="32"/>
          <w:highlight w:val="none"/>
          <w:shd w:val="clear" w:color="auto" w:fill="FFFFFF"/>
          <w:lang w:val="en-US" w:eastAsia="zh-CN"/>
        </w:rPr>
        <w:fldChar w:fldCharType="end"/>
      </w:r>
      <w:r>
        <w:rPr>
          <w:rFonts w:hint="default" w:ascii="Times New Roman" w:hAnsi="Times New Roman" w:eastAsia="仿宋_GB2312" w:cs="Times New Roman"/>
          <w:color w:val="auto"/>
          <w:sz w:val="32"/>
          <w:szCs w:val="32"/>
          <w:highlight w:val="none"/>
          <w:shd w:val="clear" w:color="auto" w:fill="FFFFFF"/>
          <w:lang w:eastAsia="zh-CN"/>
        </w:rPr>
        <w:t>）。</w:t>
      </w:r>
    </w:p>
    <w:p w14:paraId="3376E5C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highlight w:val="none"/>
          <w:shd w:val="clear" w:color="auto" w:fill="FFFFFF"/>
          <w:lang w:val="en-US" w:eastAsia="zh-CN"/>
        </w:rPr>
      </w:pPr>
    </w:p>
    <w:p w14:paraId="30B8570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highlight w:val="none"/>
          <w:shd w:val="clear" w:color="auto" w:fill="FFFFFF"/>
          <w:lang w:val="en-US" w:eastAsia="zh-CN"/>
        </w:rPr>
      </w:pPr>
    </w:p>
    <w:p w14:paraId="07F64DA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市中区矿区街道办事处</w:t>
      </w:r>
    </w:p>
    <w:p w14:paraId="3133E69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cs="Times New Roman" w:eastAsiaTheme="minorEastAsia"/>
          <w:color w:val="auto"/>
          <w:sz w:val="32"/>
          <w:szCs w:val="32"/>
          <w:lang w:eastAsia="zh-CN"/>
        </w:rPr>
      </w:pPr>
      <w:r>
        <w:rPr>
          <w:rFonts w:hint="default" w:ascii="Times New Roman" w:hAnsi="Times New Roman" w:eastAsia="仿宋_GB2312" w:cs="Times New Roman"/>
          <w:color w:val="auto"/>
          <w:sz w:val="32"/>
          <w:szCs w:val="32"/>
          <w:highlight w:val="none"/>
          <w:shd w:val="clear" w:color="auto" w:fill="FFFFFF"/>
          <w:lang w:val="en-US" w:eastAsia="zh-CN"/>
        </w:rPr>
        <w:t>2026年1月14日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025C2D-6715-4217-9083-5CA203C57F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16E8CFF-AF41-4191-B8B4-81202FAD1178}"/>
  </w:font>
  <w:font w:name="仿宋_GB2312">
    <w:panose1 w:val="02010609030101010101"/>
    <w:charset w:val="86"/>
    <w:family w:val="modern"/>
    <w:pitch w:val="default"/>
    <w:sig w:usb0="00000001" w:usb1="080E0000" w:usb2="00000000" w:usb3="00000000" w:csb0="00040000" w:csb1="00000000"/>
    <w:embedRegular r:id="rId3" w:fontKey="{CCEAB3F9-CF05-42A1-95E6-2B1BC998BD87}"/>
  </w:font>
  <w:font w:name="楷体_GB2312">
    <w:altName w:val="楷体"/>
    <w:panose1 w:val="02010609030101010101"/>
    <w:charset w:val="86"/>
    <w:family w:val="decorative"/>
    <w:pitch w:val="default"/>
    <w:sig w:usb0="00000000" w:usb1="00000000" w:usb2="00000000" w:usb3="00000000" w:csb0="00040000" w:csb1="00000000"/>
    <w:embedRegular r:id="rId4" w:fontKey="{74F50436-3561-4B90-BC16-3FA670EA8FD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7AF9">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FF376DD">
                          <w:pPr>
                            <w:pStyle w:val="5"/>
                            <w:rPr>
                              <w:rFonts w:hint="eastAsia" w:eastAsia="宋体"/>
                              <w:lang w:eastAsia="zh-CN"/>
                            </w:rPr>
                          </w:pPr>
                          <w:r>
                            <w:rPr>
                              <w:rFonts w:hint="eastAsia" w:ascii="仿宋_GB2312" w:hAnsi="仿宋_GB2312" w:eastAsia="仿宋_GB2312" w:cs="仿宋_GB2312"/>
                              <w:sz w:val="32"/>
                              <w:szCs w:val="32"/>
                              <w:lang w:eastAsia="zh-CN"/>
                            </w:rPr>
                            <w:t>—</w:t>
                          </w:r>
                          <w:r>
                            <w:rPr>
                              <w:rFonts w:hint="eastAsia" w:eastAsia="宋体"/>
                              <w:sz w:val="32"/>
                              <w:szCs w:val="32"/>
                              <w:lang w:eastAsia="zh-CN"/>
                            </w:rPr>
                            <w:t xml:space="preserve"> </w:t>
                          </w:r>
                          <w:r>
                            <w:rPr>
                              <w:rFonts w:hint="eastAsia" w:eastAsia="宋体"/>
                              <w:sz w:val="32"/>
                              <w:szCs w:val="32"/>
                              <w:lang w:eastAsia="zh-CN"/>
                            </w:rPr>
                            <w:fldChar w:fldCharType="begin"/>
                          </w:r>
                          <w:r>
                            <w:rPr>
                              <w:rFonts w:hint="eastAsia" w:eastAsia="宋体"/>
                              <w:sz w:val="32"/>
                              <w:szCs w:val="32"/>
                              <w:lang w:eastAsia="zh-CN"/>
                            </w:rPr>
                            <w:instrText xml:space="preserve"> PAGE  \* MERGEFORMAT </w:instrText>
                          </w:r>
                          <w:r>
                            <w:rPr>
                              <w:rFonts w:hint="eastAsia" w:eastAsia="宋体"/>
                              <w:sz w:val="32"/>
                              <w:szCs w:val="32"/>
                              <w:lang w:eastAsia="zh-CN"/>
                            </w:rPr>
                            <w:fldChar w:fldCharType="separate"/>
                          </w:r>
                          <w:r>
                            <w:rPr>
                              <w:rFonts w:hint="eastAsia" w:eastAsia="宋体"/>
                              <w:sz w:val="32"/>
                              <w:szCs w:val="32"/>
                              <w:lang w:eastAsia="zh-CN"/>
                            </w:rPr>
                            <w:t>8</w:t>
                          </w:r>
                          <w:r>
                            <w:rPr>
                              <w:rFonts w:hint="eastAsia" w:eastAsia="宋体"/>
                              <w:sz w:val="32"/>
                              <w:szCs w:val="32"/>
                              <w:lang w:eastAsia="zh-CN"/>
                            </w:rPr>
                            <w:fldChar w:fldCharType="end"/>
                          </w:r>
                          <w:r>
                            <w:rPr>
                              <w:rFonts w:hint="eastAsia" w:eastAsia="宋体"/>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FF376DD">
                    <w:pPr>
                      <w:pStyle w:val="5"/>
                      <w:rPr>
                        <w:rFonts w:hint="eastAsia" w:eastAsia="宋体"/>
                        <w:lang w:eastAsia="zh-CN"/>
                      </w:rPr>
                    </w:pPr>
                    <w:r>
                      <w:rPr>
                        <w:rFonts w:hint="eastAsia" w:ascii="仿宋_GB2312" w:hAnsi="仿宋_GB2312" w:eastAsia="仿宋_GB2312" w:cs="仿宋_GB2312"/>
                        <w:sz w:val="32"/>
                        <w:szCs w:val="32"/>
                        <w:lang w:eastAsia="zh-CN"/>
                      </w:rPr>
                      <w:t>—</w:t>
                    </w:r>
                    <w:r>
                      <w:rPr>
                        <w:rFonts w:hint="eastAsia" w:eastAsia="宋体"/>
                        <w:sz w:val="32"/>
                        <w:szCs w:val="32"/>
                        <w:lang w:eastAsia="zh-CN"/>
                      </w:rPr>
                      <w:t xml:space="preserve"> </w:t>
                    </w:r>
                    <w:r>
                      <w:rPr>
                        <w:rFonts w:hint="eastAsia" w:eastAsia="宋体"/>
                        <w:sz w:val="32"/>
                        <w:szCs w:val="32"/>
                        <w:lang w:eastAsia="zh-CN"/>
                      </w:rPr>
                      <w:fldChar w:fldCharType="begin"/>
                    </w:r>
                    <w:r>
                      <w:rPr>
                        <w:rFonts w:hint="eastAsia" w:eastAsia="宋体"/>
                        <w:sz w:val="32"/>
                        <w:szCs w:val="32"/>
                        <w:lang w:eastAsia="zh-CN"/>
                      </w:rPr>
                      <w:instrText xml:space="preserve"> PAGE  \* MERGEFORMAT </w:instrText>
                    </w:r>
                    <w:r>
                      <w:rPr>
                        <w:rFonts w:hint="eastAsia" w:eastAsia="宋体"/>
                        <w:sz w:val="32"/>
                        <w:szCs w:val="32"/>
                        <w:lang w:eastAsia="zh-CN"/>
                      </w:rPr>
                      <w:fldChar w:fldCharType="separate"/>
                    </w:r>
                    <w:r>
                      <w:rPr>
                        <w:rFonts w:hint="eastAsia" w:eastAsia="宋体"/>
                        <w:sz w:val="32"/>
                        <w:szCs w:val="32"/>
                        <w:lang w:eastAsia="zh-CN"/>
                      </w:rPr>
                      <w:t>8</w:t>
                    </w:r>
                    <w:r>
                      <w:rPr>
                        <w:rFonts w:hint="eastAsia" w:eastAsia="宋体"/>
                        <w:sz w:val="32"/>
                        <w:szCs w:val="32"/>
                        <w:lang w:eastAsia="zh-CN"/>
                      </w:rPr>
                      <w:fldChar w:fldCharType="end"/>
                    </w:r>
                    <w:r>
                      <w:rPr>
                        <w:rFonts w:hint="eastAsia" w:eastAsia="宋体"/>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8E86">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1B5F9C"/>
    <w:rsid w:val="0A3E1141"/>
    <w:rsid w:val="0AF4678A"/>
    <w:rsid w:val="0B8F2AB2"/>
    <w:rsid w:val="0D426B65"/>
    <w:rsid w:val="0DB7343A"/>
    <w:rsid w:val="0E1D6D9B"/>
    <w:rsid w:val="101A475B"/>
    <w:rsid w:val="11B9374B"/>
    <w:rsid w:val="134906B3"/>
    <w:rsid w:val="17A121FC"/>
    <w:rsid w:val="1AAF71B2"/>
    <w:rsid w:val="1B9E7784"/>
    <w:rsid w:val="1D276D79"/>
    <w:rsid w:val="1DC53412"/>
    <w:rsid w:val="1FD24907"/>
    <w:rsid w:val="2007106B"/>
    <w:rsid w:val="20E26CC1"/>
    <w:rsid w:val="227F4F5F"/>
    <w:rsid w:val="241C3434"/>
    <w:rsid w:val="24B65C7B"/>
    <w:rsid w:val="27005623"/>
    <w:rsid w:val="271F6DB2"/>
    <w:rsid w:val="28BE4FD8"/>
    <w:rsid w:val="2A366FA5"/>
    <w:rsid w:val="2A6E4A40"/>
    <w:rsid w:val="2B247393"/>
    <w:rsid w:val="2B7E7F7A"/>
    <w:rsid w:val="2EB115E7"/>
    <w:rsid w:val="30597B2F"/>
    <w:rsid w:val="34C27E73"/>
    <w:rsid w:val="34C65277"/>
    <w:rsid w:val="36364CD2"/>
    <w:rsid w:val="3700753A"/>
    <w:rsid w:val="372B44B7"/>
    <w:rsid w:val="37DD4F2A"/>
    <w:rsid w:val="389B3742"/>
    <w:rsid w:val="3CA63654"/>
    <w:rsid w:val="40397AF0"/>
    <w:rsid w:val="40F6076B"/>
    <w:rsid w:val="40FC5355"/>
    <w:rsid w:val="411462D3"/>
    <w:rsid w:val="424E6C95"/>
    <w:rsid w:val="428D2EEF"/>
    <w:rsid w:val="42962A0C"/>
    <w:rsid w:val="43677CBB"/>
    <w:rsid w:val="440C3110"/>
    <w:rsid w:val="4A263FB9"/>
    <w:rsid w:val="4BE16E0F"/>
    <w:rsid w:val="4F1B009D"/>
    <w:rsid w:val="52D1732E"/>
    <w:rsid w:val="53FA4D89"/>
    <w:rsid w:val="5A891C07"/>
    <w:rsid w:val="5AE6494C"/>
    <w:rsid w:val="5DD92687"/>
    <w:rsid w:val="5EA95810"/>
    <w:rsid w:val="5F8D4488"/>
    <w:rsid w:val="61615D54"/>
    <w:rsid w:val="62A02DE5"/>
    <w:rsid w:val="62DF0CAC"/>
    <w:rsid w:val="62E224AD"/>
    <w:rsid w:val="64490C92"/>
    <w:rsid w:val="646A6A9F"/>
    <w:rsid w:val="67094914"/>
    <w:rsid w:val="67600C28"/>
    <w:rsid w:val="6DE2030D"/>
    <w:rsid w:val="6EC52406"/>
    <w:rsid w:val="70F76C5D"/>
    <w:rsid w:val="71742F46"/>
    <w:rsid w:val="72BB477E"/>
    <w:rsid w:val="743334DA"/>
    <w:rsid w:val="754C48A1"/>
    <w:rsid w:val="79390A27"/>
    <w:rsid w:val="7AEE725E"/>
    <w:rsid w:val="7AF714F2"/>
    <w:rsid w:val="7C1A63E7"/>
    <w:rsid w:val="7D726BF8"/>
    <w:rsid w:val="7F2B4A49"/>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9"/>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pPr>
    <w:rPr>
      <w:rFonts w:ascii="宋体" w:hAnsi="宋体" w:cs="宋体"/>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paragraph" w:customStyle="1" w:styleId="11">
    <w:name w:val="Header or footer|1"/>
    <w:basedOn w:val="1"/>
    <w:qFormat/>
    <w:uiPriority w:val="0"/>
    <w:rPr>
      <w:sz w:val="26"/>
      <w:szCs w:val="26"/>
      <w:lang w:val="zh-TW" w:eastAsia="zh-TW" w:bidi="zh-TW"/>
    </w:rPr>
  </w:style>
  <w:style w:type="paragraph" w:customStyle="1" w:styleId="12">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3">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4">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c6f0abbe-f1a4-4ebc-bd32-ba4ad4c6b0ae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C2DE578</paraID>
      <start>18</start>
      <end>21</end>
      <status>unmodified</status>
      <modifiedWord/>
      <trackRevisions>false</trackRevisions>
    </reviewItem>
    <reviewItem>
      <errorID>1758bd72-cc87-485d-aa7c-9f2de23356d9</errorID>
      <errorWord>《</errorWord>
      <group>L1_Punc</group>
      <groupName>标点问题</groupName>
      <ability>L2_Punc</ability>
      <abilityName>标点符号检查</abilityName>
      <candidateList/>
      <explain>同一形式括号套用。</explain>
      <paraID> C2DE578</paraID>
      <start>43</start>
      <end>44</end>
      <status>unmodified</status>
      <modifiedWord/>
      <trackRevisions>false</trackRevisions>
    </reviewItem>
    <reviewItem>
      <errorID>4f7c2ba4-0bd1-4adb-a6bb-4a2ab4658dff</errorID>
      <errorWord>》</errorWord>
      <group>L1_Punc</group>
      <groupName>标点问题</groupName>
      <ability>L2_Punc</ability>
      <abilityName>标点符号检查</abilityName>
      <candidateList/>
      <explain>同一形式括号套用。</explain>
      <paraID> C2DE578</paraID>
      <start>65</start>
      <end>66</end>
      <status>unmodified</status>
      <modifiedWord/>
      <trackRevisions>false</trackRevisions>
    </reviewItem>
    <reviewItem>
      <errorID>369617e6-2747-4f52-b818-b835132024ea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54948B86</paraID>
      <start>15</start>
      <end>18</end>
      <status>unmodified</status>
      <modifiedWord/>
      <trackRevisions>false</trackRevisions>
    </reviewItem>
    <reviewItem>
      <errorID>e59b7660-a5a3-4fdd-9fdb-c2382ce0a1dc</errorID>
      <errorWord>处理</errorWord>
      <group>L1_Word</group>
      <groupName>字词问题</groupName>
      <ability>L2_Typo</ability>
      <abilityName>字词错误</abilityName>
      <candidateList>
        <item>受理</item>
      </candidateList>
      <explain/>
      <paraID>1D7F7E76</paraID>
      <start>22</start>
      <end>24</end>
      <status>unmodified</status>
      <modifiedWord/>
      <trackRevisions>false</trackRevisions>
    </reviewItem>
    <reviewItem>
      <errorID>b875194e-f459-4c67-b5d0-cf09b241479a</errorID>
      <errorWord>处理</errorWord>
      <group>L1_Word</group>
      <groupName>字词问题</groupName>
      <ability>L2_Typo</ability>
      <abilityName>字词错误</abilityName>
      <candidateList>
        <item>受理</item>
      </candidateList>
      <explain/>
      <paraID>23259C79</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6a837-8361-4314-9ee5-1ecc6ef4185d}">
  <ds:schemaRefs/>
</ds:datastoreItem>
</file>

<file path=docProps/app.xml><?xml version="1.0" encoding="utf-8"?>
<Properties xmlns="http://schemas.openxmlformats.org/officeDocument/2006/extended-properties" xmlns:vt="http://schemas.openxmlformats.org/officeDocument/2006/docPropsVTypes">
  <Template>Normal</Template>
  <Pages>8</Pages>
  <Words>1915</Words>
  <Characters>2027</Characters>
  <Lines>53</Lines>
  <Paragraphs>15</Paragraphs>
  <TotalTime>3</TotalTime>
  <ScaleCrop>false</ScaleCrop>
  <LinksUpToDate>false</LinksUpToDate>
  <CharactersWithSpaces>2027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2026-01-20T08:58:11Z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6D80E73484E342859786FB57898CD909_13</vt:lpwstr>
  </property>
</Properties>
</file>