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43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文化和旅游局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1839CB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w:t>
      </w:r>
      <w:r>
        <w:rPr>
          <w:rFonts w:eastAsia="仿宋_GB2312"/>
          <w:color w:val="auto"/>
          <w:sz w:val="32"/>
          <w:szCs w:val="32"/>
          <w:shd w:val="clear" w:color="auto" w:fill="FFFFFF"/>
          <w:lang w:eastAsia="zh-CN"/>
        </w:rPr>
        <w:t>本年度报告电子版可从</w:t>
      </w:r>
      <w:r>
        <w:rPr>
          <w:rFonts w:hint="eastAsia" w:eastAsia="仿宋_GB2312"/>
          <w:color w:val="auto"/>
          <w:sz w:val="32"/>
          <w:szCs w:val="32"/>
          <w:shd w:val="clear" w:color="auto" w:fill="FFFFFF"/>
          <w:lang w:val="en-US" w:eastAsia="zh-CN"/>
        </w:rPr>
        <w:t>市中区</w:t>
      </w:r>
      <w:r>
        <w:rPr>
          <w:rFonts w:eastAsia="仿宋_GB2312"/>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eastAsia="仿宋_GB2312"/>
          <w:color w:val="auto"/>
          <w:sz w:val="32"/>
          <w:szCs w:val="32"/>
          <w:shd w:val="clear" w:color="auto" w:fill="FFFFFF"/>
          <w:lang w:eastAsia="zh-CN"/>
        </w:rPr>
        <w:t>）查阅或下载。本报告所列数据的统计</w:t>
      </w:r>
      <w:r>
        <w:rPr>
          <w:rFonts w:hint="eastAsia" w:eastAsia="仿宋_GB2312"/>
          <w:color w:val="auto"/>
          <w:sz w:val="32"/>
          <w:szCs w:val="32"/>
          <w:shd w:val="clear" w:color="auto" w:fill="FFFFFF"/>
          <w:lang w:val="en-US" w:eastAsia="zh-CN"/>
        </w:rPr>
        <w:t>期</w:t>
      </w:r>
      <w:r>
        <w:rPr>
          <w:rFonts w:eastAsia="仿宋_GB2312"/>
          <w:color w:val="auto"/>
          <w:sz w:val="32"/>
          <w:szCs w:val="32"/>
          <w:shd w:val="clear" w:color="auto" w:fill="FFFFFF"/>
          <w:lang w:eastAsia="zh-CN"/>
        </w:rPr>
        <w:t>限自2</w:t>
      </w:r>
      <w:r>
        <w:rPr>
          <w:rFonts w:hint="eastAsia" w:eastAsia="仿宋_GB2312"/>
          <w:color w:val="auto"/>
          <w:sz w:val="32"/>
          <w:szCs w:val="32"/>
          <w:shd w:val="clear" w:color="auto" w:fill="FFFFFF"/>
          <w:lang w:val="en-US" w:eastAsia="zh-CN"/>
        </w:rPr>
        <w:t>025年1月1日起至2025年12月31日止。如对本报告有疑问，可与市中区文化和旅游局联系（</w:t>
      </w:r>
      <w:r>
        <w:rPr>
          <w:rFonts w:hint="default" w:eastAsia="仿宋_GB2312"/>
          <w:color w:val="auto"/>
          <w:sz w:val="32"/>
          <w:szCs w:val="32"/>
          <w:shd w:val="clear" w:color="auto" w:fill="FFFFFF"/>
          <w:lang w:val="en-US" w:eastAsia="zh-CN"/>
        </w:rPr>
        <w:t>地址</w:t>
      </w:r>
      <w:r>
        <w:rPr>
          <w:rFonts w:hint="eastAsia" w:eastAsia="仿宋_GB2312"/>
          <w:color w:val="auto"/>
          <w:sz w:val="32"/>
          <w:szCs w:val="32"/>
          <w:shd w:val="clear" w:color="auto" w:fill="FFFFFF"/>
          <w:lang w:val="en-US" w:eastAsia="zh-CN"/>
        </w:rPr>
        <w:t>：</w:t>
      </w:r>
      <w:r>
        <w:rPr>
          <w:rFonts w:hint="default" w:eastAsia="仿宋_GB2312"/>
          <w:color w:val="auto"/>
          <w:sz w:val="32"/>
          <w:szCs w:val="32"/>
          <w:shd w:val="clear" w:color="auto" w:fill="FFFFFF"/>
          <w:lang w:val="en-US" w:eastAsia="zh-CN"/>
        </w:rPr>
        <w:t>枣庄市市中区振兴北路125号，邮编：277100，电话：0632-3318217，电子邮箱：wljscgl@zz.shandong.cn）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bookmarkStart w:id="0" w:name="OLE_LINK1"/>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55673B5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2025年，区文化和旅游局高度重视政府信息公开工作，切实加强组织领导，始终坚持以公开透明、公平公正为原则，以服务发展大局、便利群众办事为出发点和落脚点，严格贯彻落实《中华人民共和国政府信息公开条例》相关规定，统筹推进信息公开各项建设工作。在组织建设方面，持续优化内部工作架构，细化职责分工，为信息公开工作高效开展筑牢坚实组织保障；在平台建设方面，积极拓宽信息公开渠道，打造多元化、便捷化信息发布载体，保障各类信息及时、准确向社会公众传递；在制度建设方面，健全完善信息公开配套规章制度，规范工作流程，推动信息公开工作制度化、规范化运行。</w:t>
      </w:r>
    </w:p>
    <w:bookmarkEnd w:id="0"/>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9B3A8F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color w:val="auto"/>
          <w:sz w:val="32"/>
          <w:szCs w:val="32"/>
          <w:lang w:val="en-US" w:eastAsia="zh-CN"/>
        </w:rPr>
      </w:pPr>
      <w:r>
        <w:rPr>
          <w:rFonts w:hint="default" w:ascii="Times New Roman" w:hAnsi="Times New Roman" w:eastAsia="仿宋_GB2312" w:cs="Times New Roman"/>
          <w:b w:val="0"/>
          <w:bCs w:val="0"/>
          <w:color w:val="auto"/>
          <w:kern w:val="0"/>
          <w:sz w:val="32"/>
          <w:szCs w:val="32"/>
          <w:shd w:val="clear" w:color="auto" w:fill="FFFFFF"/>
          <w:lang w:val="en-US" w:eastAsia="zh-CN" w:bidi="en-US"/>
        </w:rPr>
        <w:t>202</w:t>
      </w:r>
      <w:r>
        <w:rPr>
          <w:rFonts w:hint="eastAsia" w:eastAsia="仿宋_GB2312" w:cs="Times New Roman"/>
          <w:b w:val="0"/>
          <w:bCs w:val="0"/>
          <w:color w:val="auto"/>
          <w:kern w:val="0"/>
          <w:sz w:val="32"/>
          <w:szCs w:val="32"/>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shd w:val="clear" w:color="auto" w:fill="FFFFFF"/>
          <w:lang w:val="en-US" w:eastAsia="zh-CN" w:bidi="en-US"/>
        </w:rPr>
        <w:t>年，我局主动公开信息</w:t>
      </w:r>
      <w:r>
        <w:rPr>
          <w:rFonts w:hint="eastAsia" w:eastAsia="仿宋_GB2312" w:cs="Times New Roman"/>
          <w:b w:val="0"/>
          <w:bCs w:val="0"/>
          <w:color w:val="auto"/>
          <w:kern w:val="0"/>
          <w:sz w:val="32"/>
          <w:szCs w:val="32"/>
          <w:shd w:val="clear" w:color="auto" w:fill="FFFFFF"/>
          <w:lang w:val="en-US" w:eastAsia="zh-CN" w:bidi="en-US"/>
        </w:rPr>
        <w:t>927</w:t>
      </w:r>
      <w:r>
        <w:rPr>
          <w:rFonts w:hint="default" w:ascii="Times New Roman" w:hAnsi="Times New Roman" w:eastAsia="仿宋_GB2312" w:cs="Times New Roman"/>
          <w:b w:val="0"/>
          <w:bCs w:val="0"/>
          <w:color w:val="auto"/>
          <w:kern w:val="0"/>
          <w:sz w:val="32"/>
          <w:szCs w:val="32"/>
          <w:shd w:val="clear" w:color="auto" w:fill="FFFFFF"/>
          <w:lang w:val="en-US" w:eastAsia="zh-CN" w:bidi="en-US"/>
        </w:rPr>
        <w:t>条，其中在区政府门户网站公开</w:t>
      </w:r>
      <w:r>
        <w:rPr>
          <w:rFonts w:hint="eastAsia" w:eastAsia="仿宋_GB2312" w:cs="Times New Roman"/>
          <w:b w:val="0"/>
          <w:bCs w:val="0"/>
          <w:color w:val="auto"/>
          <w:kern w:val="0"/>
          <w:sz w:val="32"/>
          <w:szCs w:val="32"/>
          <w:shd w:val="clear" w:color="auto" w:fill="FFFFFF"/>
          <w:lang w:val="en-US" w:eastAsia="zh-CN" w:bidi="en-US"/>
        </w:rPr>
        <w:t>124</w:t>
      </w:r>
      <w:r>
        <w:rPr>
          <w:rFonts w:hint="default" w:ascii="Times New Roman" w:hAnsi="Times New Roman" w:eastAsia="仿宋_GB2312" w:cs="Times New Roman"/>
          <w:b w:val="0"/>
          <w:bCs w:val="0"/>
          <w:color w:val="auto"/>
          <w:kern w:val="0"/>
          <w:sz w:val="32"/>
          <w:szCs w:val="32"/>
          <w:shd w:val="clear" w:color="auto" w:fill="FFFFFF"/>
          <w:lang w:val="en-US" w:eastAsia="zh-CN" w:bidi="en-US"/>
        </w:rPr>
        <w:t>条，政务新媒体公开</w:t>
      </w:r>
      <w:r>
        <w:rPr>
          <w:rFonts w:hint="eastAsia" w:eastAsia="仿宋_GB2312" w:cs="Times New Roman"/>
          <w:b w:val="0"/>
          <w:bCs w:val="0"/>
          <w:color w:val="auto"/>
          <w:kern w:val="0"/>
          <w:sz w:val="32"/>
          <w:szCs w:val="32"/>
          <w:shd w:val="clear" w:color="auto" w:fill="FFFFFF"/>
          <w:lang w:val="en-US" w:eastAsia="zh-CN" w:bidi="en-US"/>
        </w:rPr>
        <w:t>374</w:t>
      </w:r>
      <w:r>
        <w:rPr>
          <w:rFonts w:hint="default" w:ascii="Times New Roman" w:hAnsi="Times New Roman" w:eastAsia="仿宋_GB2312" w:cs="Times New Roman"/>
          <w:b w:val="0"/>
          <w:bCs w:val="0"/>
          <w:color w:val="auto"/>
          <w:kern w:val="0"/>
          <w:sz w:val="32"/>
          <w:szCs w:val="32"/>
          <w:shd w:val="clear" w:color="auto" w:fill="FFFFFF"/>
          <w:lang w:val="en-US" w:eastAsia="zh-CN" w:bidi="en-US"/>
        </w:rPr>
        <w:t>条，其他渠道公开</w:t>
      </w:r>
      <w:r>
        <w:rPr>
          <w:rFonts w:hint="eastAsia" w:eastAsia="仿宋_GB2312" w:cs="Times New Roman"/>
          <w:b w:val="0"/>
          <w:bCs w:val="0"/>
          <w:color w:val="auto"/>
          <w:kern w:val="0"/>
          <w:sz w:val="32"/>
          <w:szCs w:val="32"/>
          <w:shd w:val="clear" w:color="auto" w:fill="FFFFFF"/>
          <w:lang w:val="en-US" w:eastAsia="zh-CN" w:bidi="en-US"/>
        </w:rPr>
        <w:t>429</w:t>
      </w:r>
      <w:r>
        <w:rPr>
          <w:rFonts w:hint="default" w:ascii="Times New Roman" w:hAnsi="Times New Roman" w:eastAsia="仿宋_GB2312" w:cs="Times New Roman"/>
          <w:b w:val="0"/>
          <w:bCs w:val="0"/>
          <w:color w:val="auto"/>
          <w:kern w:val="0"/>
          <w:sz w:val="32"/>
          <w:szCs w:val="32"/>
          <w:shd w:val="clear" w:color="auto" w:fill="FFFFFF"/>
          <w:lang w:val="en-US" w:eastAsia="zh-CN" w:bidi="en-US"/>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4436E7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eastAsia="zh-CN" w:bidi="en-US"/>
        </w:rPr>
      </w:pPr>
      <w:r>
        <w:rPr>
          <w:rFonts w:hint="default" w:ascii="Times New Roman" w:hAnsi="Times New Roman" w:eastAsia="仿宋_GB2312" w:cs="Times New Roman"/>
          <w:b w:val="0"/>
          <w:bCs w:val="0"/>
          <w:color w:val="auto"/>
          <w:kern w:val="0"/>
          <w:sz w:val="32"/>
          <w:szCs w:val="32"/>
          <w:shd w:val="clear" w:color="auto" w:fill="FFFFFF"/>
          <w:lang w:eastAsia="zh-CN" w:bidi="en-US"/>
        </w:rPr>
        <w:t>做好依申请公开工作，依法保障民众的知情权、参与权、表达权、监督权。20</w:t>
      </w:r>
      <w:r>
        <w:rPr>
          <w:rFonts w:hint="eastAsia" w:ascii="Times New Roman" w:hAnsi="Times New Roman" w:eastAsia="仿宋_GB2312" w:cs="Times New Roman"/>
          <w:b w:val="0"/>
          <w:bCs w:val="0"/>
          <w:color w:val="auto"/>
          <w:kern w:val="0"/>
          <w:sz w:val="32"/>
          <w:szCs w:val="32"/>
          <w:shd w:val="clear" w:color="auto" w:fill="FFFFFF"/>
          <w:lang w:val="en-US" w:eastAsia="zh-CN" w:bidi="en-US"/>
        </w:rPr>
        <w:t>25</w:t>
      </w:r>
      <w:r>
        <w:rPr>
          <w:rFonts w:hint="default" w:ascii="Times New Roman" w:hAnsi="Times New Roman" w:eastAsia="仿宋_GB2312" w:cs="Times New Roman"/>
          <w:b w:val="0"/>
          <w:bCs w:val="0"/>
          <w:color w:val="auto"/>
          <w:kern w:val="0"/>
          <w:sz w:val="32"/>
          <w:szCs w:val="32"/>
          <w:shd w:val="clear" w:color="auto" w:fill="FFFFFF"/>
          <w:lang w:eastAsia="zh-CN" w:bidi="en-US"/>
        </w:rPr>
        <w:t>年共受理政府信息公开申请</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w:t>
      </w:r>
      <w:r>
        <w:rPr>
          <w:rFonts w:hint="default" w:ascii="Times New Roman" w:hAnsi="Times New Roman" w:eastAsia="仿宋_GB2312" w:cs="Times New Roman"/>
          <w:b w:val="0"/>
          <w:bCs w:val="0"/>
          <w:color w:val="auto"/>
          <w:kern w:val="0"/>
          <w:sz w:val="32"/>
          <w:szCs w:val="32"/>
          <w:shd w:val="clear" w:color="auto" w:fill="FFFFFF"/>
          <w:lang w:val="en-US" w:eastAsia="zh-CN" w:bidi="en-US"/>
        </w:rPr>
        <w:t>。</w:t>
      </w:r>
      <w:r>
        <w:rPr>
          <w:rFonts w:hint="default" w:ascii="Times New Roman" w:hAnsi="Times New Roman" w:eastAsia="仿宋_GB2312" w:cs="Times New Roman"/>
          <w:b w:val="0"/>
          <w:bCs w:val="0"/>
          <w:color w:val="auto"/>
          <w:kern w:val="0"/>
          <w:sz w:val="32"/>
          <w:szCs w:val="32"/>
          <w:shd w:val="clear" w:color="auto" w:fill="FFFFFF"/>
          <w:lang w:eastAsia="zh-CN" w:bidi="en-US"/>
        </w:rPr>
        <w:t>其中予以公开申请</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件，部分公开</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件，不予公开</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件，无法提供</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件，不予处理</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w:t>
      </w:r>
    </w:p>
    <w:p w14:paraId="01A7DA1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eastAsia="zh-CN" w:bidi="en-US"/>
        </w:rPr>
      </w:pPr>
      <w:r>
        <w:rPr>
          <w:rFonts w:hint="default" w:ascii="Times New Roman" w:hAnsi="Times New Roman" w:eastAsia="仿宋_GB2312" w:cs="Times New Roman"/>
          <w:b w:val="0"/>
          <w:bCs w:val="0"/>
          <w:color w:val="auto"/>
          <w:kern w:val="0"/>
          <w:sz w:val="32"/>
          <w:szCs w:val="32"/>
          <w:shd w:val="clear" w:color="auto" w:fill="FFFFFF"/>
          <w:lang w:eastAsia="zh-CN" w:bidi="en-US"/>
        </w:rPr>
        <w:t>本年度依申请公开政府信息未收取任何费用。</w:t>
      </w:r>
    </w:p>
    <w:p w14:paraId="2FE0C2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eastAsia="zh-CN" w:bidi="en-US"/>
        </w:rPr>
      </w:pPr>
      <w:r>
        <w:rPr>
          <w:rFonts w:hint="default" w:ascii="Times New Roman" w:hAnsi="Times New Roman" w:eastAsia="仿宋_GB2312" w:cs="Times New Roman"/>
          <w:b w:val="0"/>
          <w:bCs w:val="0"/>
          <w:color w:val="auto"/>
          <w:kern w:val="0"/>
          <w:sz w:val="32"/>
          <w:szCs w:val="32"/>
          <w:shd w:val="clear" w:color="auto" w:fill="FFFFFF"/>
          <w:lang w:eastAsia="zh-CN" w:bidi="en-US"/>
        </w:rPr>
        <w:t>因政府信息公开被申请行政复议</w:t>
      </w:r>
      <w:r>
        <w:rPr>
          <w:rFonts w:hint="default" w:ascii="Times New Roman" w:hAnsi="Times New Roman" w:eastAsia="仿宋_GB2312" w:cs="Times New Roman"/>
          <w:b w:val="0"/>
          <w:bCs w:val="0"/>
          <w:color w:val="auto"/>
          <w:kern w:val="0"/>
          <w:sz w:val="32"/>
          <w:szCs w:val="32"/>
          <w:shd w:val="clear" w:color="auto" w:fill="FFFFFF"/>
          <w:lang w:val="en-US" w:eastAsia="zh-CN" w:bidi="en-US"/>
        </w:rPr>
        <w:t>0</w:t>
      </w:r>
      <w:r>
        <w:rPr>
          <w:rFonts w:hint="default" w:ascii="Times New Roman" w:hAnsi="Times New Roman" w:eastAsia="仿宋_GB2312" w:cs="Times New Roman"/>
          <w:b w:val="0"/>
          <w:bCs w:val="0"/>
          <w:color w:val="auto"/>
          <w:kern w:val="0"/>
          <w:sz w:val="32"/>
          <w:szCs w:val="32"/>
          <w:shd w:val="clear" w:color="auto" w:fill="FFFFFF"/>
          <w:lang w:eastAsia="zh-CN" w:bidi="en-US"/>
        </w:rPr>
        <w:t>件，因公民、法人和其他组织认为行政机关政府信息公开工作具体行政行为侵犯其合法权益，提起</w:t>
      </w:r>
      <w:r>
        <w:rPr>
          <w:rFonts w:hint="default" w:ascii="Times New Roman" w:hAnsi="Times New Roman" w:eastAsia="仿宋_GB2312" w:cs="Times New Roman"/>
          <w:b w:val="0"/>
          <w:bCs w:val="0"/>
          <w:color w:val="auto"/>
          <w:kern w:val="0"/>
          <w:sz w:val="32"/>
          <w:szCs w:val="32"/>
          <w:shd w:val="clear" w:color="auto" w:fill="FFFFFF"/>
          <w:lang w:val="en-US" w:eastAsia="zh-CN" w:bidi="en-US"/>
        </w:rPr>
        <w:t>行政诉讼0</w:t>
      </w:r>
      <w:r>
        <w:rPr>
          <w:rFonts w:hint="default" w:ascii="Times New Roman" w:hAnsi="Times New Roman" w:eastAsia="仿宋_GB2312" w:cs="Times New Roman"/>
          <w:b w:val="0"/>
          <w:bCs w:val="0"/>
          <w:color w:val="auto"/>
          <w:kern w:val="0"/>
          <w:sz w:val="32"/>
          <w:szCs w:val="32"/>
          <w:shd w:val="clear" w:color="auto" w:fill="FFFFFF"/>
          <w:lang w:eastAsia="zh-CN" w:bidi="en-US"/>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bookmarkStart w:id="1" w:name="OLE_LINK2"/>
      <w:bookmarkStart w:id="2" w:name="OLE_LINK3"/>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607C75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eastAsia="zh-CN" w:bidi="en-US"/>
        </w:rPr>
      </w:pPr>
      <w:r>
        <w:rPr>
          <w:rFonts w:hint="default" w:ascii="Times New Roman" w:hAnsi="Times New Roman" w:eastAsia="仿宋_GB2312" w:cs="Times New Roman"/>
          <w:b w:val="0"/>
          <w:bCs w:val="0"/>
          <w:color w:val="auto"/>
          <w:kern w:val="0"/>
          <w:sz w:val="32"/>
          <w:szCs w:val="32"/>
          <w:shd w:val="clear" w:color="auto" w:fill="FFFFFF"/>
          <w:lang w:eastAsia="zh-CN" w:bidi="en-US"/>
        </w:rPr>
        <w:t>一是健全信息公开管理流程。建立政府信息公开全流程管理机制，明确专人负责信息发布流转工作，确保各环节衔接顺畅、高效运转。</w:t>
      </w:r>
    </w:p>
    <w:p w14:paraId="7AB61D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eastAsia="zh-CN" w:bidi="en-US"/>
        </w:rPr>
      </w:pPr>
      <w:r>
        <w:rPr>
          <w:rFonts w:hint="eastAsia" w:ascii="Times New Roman" w:hAnsi="Times New Roman" w:eastAsia="仿宋_GB2312" w:cs="Times New Roman"/>
          <w:b w:val="0"/>
          <w:bCs w:val="0"/>
          <w:color w:val="auto"/>
          <w:kern w:val="0"/>
          <w:sz w:val="32"/>
          <w:szCs w:val="32"/>
          <w:shd w:val="clear" w:color="auto" w:fill="FFFFFF"/>
          <w:lang w:val="en-US" w:eastAsia="zh-CN" w:bidi="en-US"/>
        </w:rPr>
        <w:t>二是</w:t>
      </w:r>
      <w:r>
        <w:rPr>
          <w:rFonts w:hint="eastAsia" w:ascii="Times New Roman" w:hAnsi="Times New Roman" w:eastAsia="仿宋_GB2312" w:cs="Times New Roman"/>
          <w:b w:val="0"/>
          <w:bCs w:val="0"/>
          <w:color w:val="auto"/>
          <w:kern w:val="0"/>
          <w:sz w:val="32"/>
          <w:szCs w:val="32"/>
          <w:shd w:val="clear" w:color="auto" w:fill="FFFFFF"/>
          <w:lang w:eastAsia="zh-CN" w:bidi="en-US"/>
        </w:rPr>
        <w:t>严格做好公开信息保密审查。认真落实《中华人民共和国保守国家秘密法》《中华人民共和国政府信息公开条例》等规定，按照“先审查、后公开”的原则，严格做好政府信息公开保密审</w:t>
      </w:r>
      <w:r>
        <w:rPr>
          <w:rFonts w:hint="eastAsia" w:eastAsia="仿宋_GB2312"/>
          <w:color w:val="auto"/>
          <w:sz w:val="32"/>
          <w:szCs w:val="32"/>
          <w:shd w:val="clear" w:color="auto" w:fill="FFFFFF"/>
          <w:lang w:eastAsia="zh-CN"/>
        </w:rPr>
        <w:t>查，确保公开信息不涉密、涉密信息不公开。</w:t>
      </w:r>
    </w:p>
    <w:p w14:paraId="2040D2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shd w:val="clear" w:color="auto" w:fill="FFFFFF"/>
          <w:lang w:eastAsia="zh-CN" w:bidi="en-US"/>
        </w:rPr>
      </w:pPr>
      <w:r>
        <w:rPr>
          <w:rFonts w:hint="eastAsia" w:eastAsia="仿宋_GB2312" w:cs="Times New Roman"/>
          <w:b w:val="0"/>
          <w:bCs w:val="0"/>
          <w:color w:val="auto"/>
          <w:kern w:val="0"/>
          <w:sz w:val="32"/>
          <w:szCs w:val="32"/>
          <w:shd w:val="clear" w:color="auto" w:fill="FFFFFF"/>
          <w:lang w:val="en-US" w:eastAsia="zh-CN" w:bidi="en-US"/>
        </w:rPr>
        <w:t>三</w:t>
      </w:r>
      <w:r>
        <w:rPr>
          <w:rFonts w:hint="default" w:ascii="Times New Roman" w:hAnsi="Times New Roman" w:eastAsia="仿宋_GB2312" w:cs="Times New Roman"/>
          <w:b w:val="0"/>
          <w:bCs w:val="0"/>
          <w:color w:val="auto"/>
          <w:kern w:val="0"/>
          <w:sz w:val="32"/>
          <w:szCs w:val="32"/>
          <w:shd w:val="clear" w:color="auto" w:fill="FFFFFF"/>
          <w:lang w:eastAsia="zh-CN" w:bidi="en-US"/>
        </w:rPr>
        <w:t>是</w:t>
      </w:r>
      <w:r>
        <w:rPr>
          <w:rFonts w:hint="eastAsia" w:ascii="Times New Roman" w:hAnsi="Times New Roman" w:eastAsia="仿宋_GB2312" w:cs="Times New Roman"/>
          <w:b w:val="0"/>
          <w:bCs w:val="0"/>
          <w:color w:val="auto"/>
          <w:kern w:val="0"/>
          <w:sz w:val="32"/>
          <w:szCs w:val="32"/>
          <w:shd w:val="clear" w:color="auto" w:fill="FFFFFF"/>
          <w:lang w:val="en-US" w:eastAsia="zh-CN" w:bidi="en-US"/>
        </w:rPr>
        <w:t>完善政务信息公开制度建设</w:t>
      </w:r>
      <w:r>
        <w:rPr>
          <w:rFonts w:hint="default" w:ascii="Times New Roman" w:hAnsi="Times New Roman" w:eastAsia="仿宋_GB2312" w:cs="Times New Roman"/>
          <w:b w:val="0"/>
          <w:bCs w:val="0"/>
          <w:color w:val="auto"/>
          <w:kern w:val="0"/>
          <w:sz w:val="32"/>
          <w:szCs w:val="32"/>
          <w:shd w:val="clear" w:color="auto" w:fill="FFFFFF"/>
          <w:lang w:eastAsia="zh-CN" w:bidi="en-US"/>
        </w:rPr>
        <w:t>。</w:t>
      </w:r>
      <w:bookmarkEnd w:id="1"/>
      <w:r>
        <w:rPr>
          <w:rFonts w:hint="default" w:ascii="Times New Roman" w:hAnsi="Times New Roman" w:eastAsia="仿宋_GB2312" w:cs="Times New Roman"/>
          <w:b w:val="0"/>
          <w:bCs w:val="0"/>
          <w:color w:val="auto"/>
          <w:kern w:val="0"/>
          <w:sz w:val="32"/>
          <w:szCs w:val="32"/>
          <w:shd w:val="clear" w:color="auto" w:fill="FFFFFF"/>
          <w:lang w:val="en-US" w:eastAsia="zh-CN" w:bidi="en-US"/>
        </w:rPr>
        <w:t>扎实推进政务公开标准化规范化建设，严格对照上级统一部署和政府网站公开要求，系统梳理职责范围内应主动公开的政务信息，将机构职能、领导班子、政策文件等核心信息纳入目录管理，明确公开主体、方式、依据和时限。通过严格执行信息公开制度，规范信息发布与报送全流程管理，有效提升了政务信息公开工作的标准化、规范化水平。</w:t>
      </w:r>
    </w:p>
    <w:bookmarkEnd w:id="2"/>
    <w:p w14:paraId="41FEAE7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bookmarkStart w:id="3" w:name="OLE_LINK4"/>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EC3C1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eastAsia="仿宋_GB2312"/>
          <w:color w:val="auto"/>
          <w:sz w:val="32"/>
          <w:szCs w:val="32"/>
          <w:lang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en-US"/>
        </w:rPr>
        <w:t>严格按照区政府政务公开工作部署，结合本局业务实际及年度考核重点，动态优化门户网站栏目设置，精准调整专题栏目架构，提升平台信息检索与服务效能。统筹运用“枣庄市市中区人民政府网站”“政府信息公开专栏”“文旅市中”等多元平台矩阵，权威、准确、及时发布政策解读、工作动态、服务指南等各类政务信息。健全平台日常运营管理机制，规范信息发布审核、更新维护等流程，保障平台安全稳定运行、服务高效便捷。　</w:t>
      </w:r>
      <w:bookmarkEnd w:id="3"/>
      <w:r>
        <w:rPr>
          <w:rFonts w:eastAsia="仿宋_GB2312"/>
          <w:color w:val="auto"/>
          <w:sz w:val="32"/>
          <w:szCs w:val="32"/>
          <w:lang w:eastAsia="zh-CN" w:bidi="ar-SA"/>
        </w:rPr>
        <w:t>　</w:t>
      </w:r>
    </w:p>
    <w:p w14:paraId="2CA3D9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（五）监督保障</w:t>
      </w:r>
    </w:p>
    <w:p w14:paraId="27920D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en-US"/>
        </w:rPr>
      </w:pPr>
      <w:r>
        <w:rPr>
          <w:rFonts w:hint="default" w:ascii="Times New Roman" w:hAnsi="Times New Roman" w:eastAsia="仿宋_GB2312" w:cs="Times New Roman"/>
          <w:b w:val="0"/>
          <w:bCs w:val="0"/>
          <w:color w:val="auto"/>
          <w:kern w:val="0"/>
          <w:sz w:val="32"/>
          <w:szCs w:val="32"/>
          <w:lang w:val="en-US" w:eastAsia="zh-CN" w:bidi="en-US"/>
        </w:rPr>
        <w:t>建立了领导小组，安排专人负责全局信息公开维护和更新，并认真做好年度报告编制、年度信息公开统计报表和政府网站年度报表等数据统计和报送工作。把政务公开工作纳入议事日程，明确信息公开的内容、形式和具体措施，制定切实可行的实施方案。</w:t>
      </w:r>
    </w:p>
    <w:p w14:paraId="6B437EDB">
      <w:pPr>
        <w:pStyle w:val="10"/>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6</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0</w:t>
            </w:r>
          </w:p>
        </w:tc>
      </w:tr>
    </w:tbl>
    <w:p w14:paraId="4E6A2AF6">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0B63120">
      <w:pPr>
        <w:pStyle w:val="10"/>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5"/>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1705"/>
        <w:gridCol w:w="2984"/>
        <w:gridCol w:w="831"/>
        <w:gridCol w:w="568"/>
        <w:gridCol w:w="568"/>
        <w:gridCol w:w="732"/>
        <w:gridCol w:w="709"/>
        <w:gridCol w:w="571"/>
        <w:gridCol w:w="854"/>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106" w:type="dxa"/>
            <w:gridSpan w:val="3"/>
            <w:vMerge w:val="restart"/>
            <w:shd w:val="clear" w:color="auto" w:fill="auto"/>
            <w:tcMar>
              <w:left w:w="108" w:type="dxa"/>
              <w:right w:w="108" w:type="dxa"/>
            </w:tcMar>
            <w:vAlign w:val="center"/>
          </w:tcPr>
          <w:p w14:paraId="71271C5E">
            <w:pPr>
              <w:widowControl/>
              <w:jc w:val="center"/>
              <w:rPr>
                <w:rFonts w:hint="default" w:ascii="Times New Roman" w:hAnsi="Times New Roman" w:eastAsia="楷体_GB2312" w:cs="Times New Roman"/>
                <w:color w:val="auto"/>
                <w:kern w:val="0"/>
                <w:sz w:val="21"/>
                <w:szCs w:val="21"/>
                <w:lang w:eastAsia="zh-CN" w:bidi="ar-SA"/>
              </w:rPr>
            </w:pPr>
            <w:r>
              <w:rPr>
                <w:rFonts w:hint="default" w:ascii="Times New Roman" w:hAnsi="Times New Roman" w:eastAsia="楷体_GB2312" w:cs="Times New Roman"/>
                <w:color w:val="auto"/>
                <w:kern w:val="0"/>
                <w:sz w:val="21"/>
                <w:szCs w:val="21"/>
                <w:lang w:eastAsia="zh-CN" w:bidi="ar-SA"/>
              </w:rPr>
              <w:t>（本列数据的勾稽关系为：第一项加第二项之和，</w:t>
            </w:r>
          </w:p>
          <w:p w14:paraId="4684864C">
            <w:pPr>
              <w:widowControl/>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楷体_GB2312" w:cs="Times New Roman"/>
                <w:color w:val="auto"/>
                <w:kern w:val="0"/>
                <w:sz w:val="21"/>
                <w:szCs w:val="21"/>
                <w:lang w:eastAsia="zh-CN" w:bidi="ar-SA"/>
              </w:rPr>
              <w:t>等于第三项加第四项之和）</w:t>
            </w:r>
          </w:p>
        </w:tc>
        <w:tc>
          <w:tcPr>
            <w:tcW w:w="4833" w:type="dxa"/>
            <w:gridSpan w:val="7"/>
            <w:shd w:val="clear" w:color="auto" w:fill="auto"/>
            <w:tcMar>
              <w:left w:w="108" w:type="dxa"/>
              <w:right w:w="108" w:type="dxa"/>
            </w:tcMar>
            <w:vAlign w:val="center"/>
          </w:tcPr>
          <w:p w14:paraId="2D94F94E">
            <w:pPr>
              <w:widowControl/>
              <w:spacing w:line="320" w:lineRule="exact"/>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106" w:type="dxa"/>
            <w:gridSpan w:val="3"/>
            <w:vMerge w:val="continue"/>
            <w:shd w:val="clear" w:color="auto" w:fill="auto"/>
            <w:tcMar>
              <w:left w:w="108" w:type="dxa"/>
              <w:right w:w="108" w:type="dxa"/>
            </w:tcMar>
            <w:vAlign w:val="center"/>
          </w:tcPr>
          <w:p w14:paraId="31BBF000">
            <w:pPr>
              <w:jc w:val="center"/>
              <w:rPr>
                <w:rFonts w:hint="default" w:ascii="Times New Roman" w:hAnsi="Times New Roman" w:eastAsia="仿宋_GB2312" w:cs="Times New Roman"/>
                <w:color w:val="auto"/>
                <w:kern w:val="2"/>
                <w:sz w:val="21"/>
                <w:szCs w:val="21"/>
                <w:lang w:eastAsia="zh-CN" w:bidi="ar-SA"/>
              </w:rPr>
            </w:pPr>
          </w:p>
        </w:tc>
        <w:tc>
          <w:tcPr>
            <w:tcW w:w="831" w:type="dxa"/>
            <w:vMerge w:val="restart"/>
            <w:shd w:val="clear" w:color="auto" w:fill="auto"/>
            <w:tcMar>
              <w:left w:w="108" w:type="dxa"/>
              <w:right w:w="108" w:type="dxa"/>
            </w:tcMar>
            <w:vAlign w:val="center"/>
          </w:tcPr>
          <w:p w14:paraId="41E6E79D">
            <w:pPr>
              <w:widowControl/>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自然人</w:t>
            </w:r>
          </w:p>
        </w:tc>
        <w:tc>
          <w:tcPr>
            <w:tcW w:w="3148" w:type="dxa"/>
            <w:gridSpan w:val="5"/>
            <w:shd w:val="clear" w:color="auto" w:fill="auto"/>
            <w:tcMar>
              <w:left w:w="108" w:type="dxa"/>
              <w:right w:w="108" w:type="dxa"/>
            </w:tcMar>
            <w:vAlign w:val="center"/>
          </w:tcPr>
          <w:p w14:paraId="393CEDF1">
            <w:pPr>
              <w:widowControl/>
              <w:spacing w:line="320" w:lineRule="exact"/>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法人或其他组织</w:t>
            </w:r>
          </w:p>
        </w:tc>
        <w:tc>
          <w:tcPr>
            <w:tcW w:w="854" w:type="dxa"/>
            <w:vMerge w:val="restart"/>
            <w:shd w:val="clear" w:color="auto" w:fill="auto"/>
            <w:tcMar>
              <w:left w:w="108" w:type="dxa"/>
              <w:right w:w="108" w:type="dxa"/>
            </w:tcMar>
            <w:vAlign w:val="center"/>
          </w:tcPr>
          <w:p w14:paraId="59B71642">
            <w:pPr>
              <w:widowControl/>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106" w:type="dxa"/>
            <w:gridSpan w:val="3"/>
            <w:vMerge w:val="continue"/>
            <w:shd w:val="clear" w:color="auto" w:fill="auto"/>
            <w:tcMar>
              <w:left w:w="108" w:type="dxa"/>
              <w:right w:w="108" w:type="dxa"/>
            </w:tcMar>
            <w:vAlign w:val="center"/>
          </w:tcPr>
          <w:p w14:paraId="611167E8">
            <w:pPr>
              <w:jc w:val="center"/>
              <w:rPr>
                <w:rFonts w:hint="default" w:ascii="Times New Roman" w:hAnsi="Times New Roman" w:eastAsia="仿宋_GB2312" w:cs="Times New Roman"/>
                <w:color w:val="auto"/>
                <w:kern w:val="2"/>
                <w:sz w:val="21"/>
                <w:szCs w:val="21"/>
                <w:lang w:eastAsia="zh-CN" w:bidi="ar-SA"/>
              </w:rPr>
            </w:pPr>
          </w:p>
        </w:tc>
        <w:tc>
          <w:tcPr>
            <w:tcW w:w="831" w:type="dxa"/>
            <w:vMerge w:val="continue"/>
            <w:shd w:val="clear" w:color="auto" w:fill="auto"/>
            <w:tcMar>
              <w:left w:w="108" w:type="dxa"/>
              <w:right w:w="108" w:type="dxa"/>
            </w:tcMar>
            <w:vAlign w:val="center"/>
          </w:tcPr>
          <w:p w14:paraId="25E71873">
            <w:pPr>
              <w:jc w:val="center"/>
              <w:rPr>
                <w:rFonts w:hint="default" w:ascii="Times New Roman" w:hAnsi="Times New Roman" w:eastAsia="黑体" w:cs="Times New Roman"/>
                <w:color w:val="auto"/>
                <w:kern w:val="2"/>
                <w:sz w:val="21"/>
                <w:szCs w:val="21"/>
                <w:lang w:eastAsia="zh-CN" w:bidi="ar-SA"/>
              </w:rPr>
            </w:pPr>
          </w:p>
        </w:tc>
        <w:tc>
          <w:tcPr>
            <w:tcW w:w="568" w:type="dxa"/>
            <w:shd w:val="clear" w:color="auto" w:fill="auto"/>
            <w:tcMar>
              <w:left w:w="108" w:type="dxa"/>
              <w:right w:w="108" w:type="dxa"/>
            </w:tcMar>
            <w:vAlign w:val="center"/>
          </w:tcPr>
          <w:p w14:paraId="44B8D887">
            <w:pPr>
              <w:widowControl/>
              <w:spacing w:line="320" w:lineRule="exact"/>
              <w:ind w:left="-121" w:leftChars="-51" w:right="-122" w:rightChars="-51" w:hanging="1" w:firstLineChars="0"/>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商业企业</w:t>
            </w:r>
          </w:p>
        </w:tc>
        <w:tc>
          <w:tcPr>
            <w:tcW w:w="568" w:type="dxa"/>
            <w:shd w:val="clear" w:color="auto" w:fill="auto"/>
            <w:tcMar>
              <w:left w:w="108" w:type="dxa"/>
              <w:right w:w="108" w:type="dxa"/>
            </w:tcMar>
            <w:vAlign w:val="center"/>
          </w:tcPr>
          <w:p w14:paraId="2639F86A">
            <w:pPr>
              <w:widowControl/>
              <w:spacing w:line="320" w:lineRule="exact"/>
              <w:ind w:left="-122" w:leftChars="-51" w:right="-122" w:rightChars="-51"/>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科研机构</w:t>
            </w:r>
          </w:p>
        </w:tc>
        <w:tc>
          <w:tcPr>
            <w:tcW w:w="732" w:type="dxa"/>
            <w:shd w:val="clear" w:color="auto" w:fill="auto"/>
            <w:tcMar>
              <w:left w:w="108" w:type="dxa"/>
              <w:right w:w="108" w:type="dxa"/>
            </w:tcMar>
            <w:vAlign w:val="center"/>
          </w:tcPr>
          <w:p w14:paraId="3076DB2F">
            <w:pPr>
              <w:widowControl/>
              <w:spacing w:line="320" w:lineRule="exact"/>
              <w:ind w:left="-122" w:leftChars="-51" w:right="-122" w:rightChars="-51"/>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社会公益组织</w:t>
            </w:r>
          </w:p>
        </w:tc>
        <w:tc>
          <w:tcPr>
            <w:tcW w:w="709" w:type="dxa"/>
            <w:shd w:val="clear" w:color="auto" w:fill="auto"/>
            <w:tcMar>
              <w:left w:w="108" w:type="dxa"/>
              <w:right w:w="108" w:type="dxa"/>
            </w:tcMar>
            <w:vAlign w:val="center"/>
          </w:tcPr>
          <w:p w14:paraId="3BBC7AD1">
            <w:pPr>
              <w:widowControl/>
              <w:spacing w:line="320" w:lineRule="exact"/>
              <w:ind w:left="-121" w:leftChars="-51" w:right="-122" w:rightChars="-51" w:hanging="1" w:firstLineChars="0"/>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法律服务机构</w:t>
            </w:r>
          </w:p>
        </w:tc>
        <w:tc>
          <w:tcPr>
            <w:tcW w:w="571" w:type="dxa"/>
            <w:shd w:val="clear" w:color="auto" w:fill="auto"/>
            <w:tcMar>
              <w:left w:w="108" w:type="dxa"/>
              <w:right w:w="108" w:type="dxa"/>
            </w:tcMar>
            <w:vAlign w:val="center"/>
          </w:tcPr>
          <w:p w14:paraId="0254570A">
            <w:pPr>
              <w:widowControl/>
              <w:spacing w:line="360" w:lineRule="exact"/>
              <w:ind w:left="-72" w:leftChars="-30" w:right="-154" w:rightChars="-64"/>
              <w:jc w:val="center"/>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其他</w:t>
            </w:r>
          </w:p>
        </w:tc>
        <w:tc>
          <w:tcPr>
            <w:tcW w:w="854" w:type="dxa"/>
            <w:vMerge w:val="continue"/>
            <w:shd w:val="clear" w:color="auto" w:fill="auto"/>
            <w:tcMar>
              <w:left w:w="108" w:type="dxa"/>
              <w:right w:w="108" w:type="dxa"/>
            </w:tcMar>
            <w:vAlign w:val="center"/>
          </w:tcPr>
          <w:p w14:paraId="5604E287">
            <w:pPr>
              <w:jc w:val="center"/>
              <w:rPr>
                <w:rFonts w:hint="default" w:ascii="Times New Roman" w:hAnsi="Times New Roman" w:eastAsia="仿宋_GB2312" w:cs="Times New Roman"/>
                <w:color w:val="auto"/>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106" w:type="dxa"/>
            <w:gridSpan w:val="3"/>
            <w:shd w:val="clear" w:color="auto" w:fill="auto"/>
            <w:tcMar>
              <w:left w:w="108" w:type="dxa"/>
              <w:right w:w="108" w:type="dxa"/>
            </w:tcMar>
            <w:vAlign w:val="center"/>
          </w:tcPr>
          <w:p w14:paraId="7225899F">
            <w:pPr>
              <w:widowControl/>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一、本年新收政府信息公开申请数量</w:t>
            </w:r>
          </w:p>
        </w:tc>
        <w:tc>
          <w:tcPr>
            <w:tcW w:w="831" w:type="dxa"/>
            <w:shd w:val="clear" w:color="auto" w:fill="auto"/>
            <w:tcMar>
              <w:left w:w="108" w:type="dxa"/>
              <w:right w:w="108" w:type="dxa"/>
            </w:tcMar>
            <w:vAlign w:val="center"/>
          </w:tcPr>
          <w:p w14:paraId="4098FD7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7EA571E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3D9570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746B773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4372D36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0CBE792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6937889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106" w:type="dxa"/>
            <w:gridSpan w:val="3"/>
            <w:shd w:val="clear" w:color="auto" w:fill="auto"/>
            <w:tcMar>
              <w:left w:w="108" w:type="dxa"/>
              <w:right w:w="108" w:type="dxa"/>
            </w:tcMar>
            <w:vAlign w:val="center"/>
          </w:tcPr>
          <w:p w14:paraId="5E48B0F4">
            <w:pPr>
              <w:widowControl/>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二、上年结转政府信息公开申请数量</w:t>
            </w:r>
          </w:p>
        </w:tc>
        <w:tc>
          <w:tcPr>
            <w:tcW w:w="831" w:type="dxa"/>
            <w:shd w:val="clear" w:color="auto" w:fill="auto"/>
            <w:tcMar>
              <w:left w:w="108" w:type="dxa"/>
              <w:right w:w="108" w:type="dxa"/>
            </w:tcMar>
            <w:vAlign w:val="center"/>
          </w:tcPr>
          <w:p w14:paraId="0A433C1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6993E11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4CA22B6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E3B3BC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02945E7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17518A9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6D1CB4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17" w:type="dxa"/>
            <w:vMerge w:val="restart"/>
            <w:shd w:val="clear" w:color="auto" w:fill="auto"/>
            <w:tcMar>
              <w:left w:w="108" w:type="dxa"/>
              <w:right w:w="108" w:type="dxa"/>
            </w:tcMar>
            <w:vAlign w:val="center"/>
          </w:tcPr>
          <w:p w14:paraId="0989E0FA">
            <w:pPr>
              <w:widowControl/>
              <w:spacing w:after="180"/>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三、本年度办理结果</w:t>
            </w:r>
          </w:p>
        </w:tc>
        <w:tc>
          <w:tcPr>
            <w:tcW w:w="4689" w:type="dxa"/>
            <w:gridSpan w:val="2"/>
            <w:shd w:val="clear" w:color="auto" w:fill="auto"/>
            <w:tcMar>
              <w:left w:w="108" w:type="dxa"/>
              <w:right w:w="108" w:type="dxa"/>
            </w:tcMar>
            <w:vAlign w:val="center"/>
          </w:tcPr>
          <w:p w14:paraId="76FF7A4F">
            <w:pPr>
              <w:widowControl/>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（一）予以公开</w:t>
            </w:r>
          </w:p>
        </w:tc>
        <w:tc>
          <w:tcPr>
            <w:tcW w:w="831" w:type="dxa"/>
            <w:shd w:val="clear" w:color="auto" w:fill="auto"/>
            <w:tcMar>
              <w:left w:w="108" w:type="dxa"/>
              <w:right w:w="108" w:type="dxa"/>
            </w:tcMar>
            <w:vAlign w:val="center"/>
          </w:tcPr>
          <w:p w14:paraId="77603D0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A4E9E0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4F60E12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31C8364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7B11E77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5732A84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CE09C6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417" w:type="dxa"/>
            <w:vMerge w:val="continue"/>
            <w:shd w:val="clear" w:color="auto" w:fill="auto"/>
            <w:tcMar>
              <w:left w:w="108" w:type="dxa"/>
              <w:right w:w="108" w:type="dxa"/>
            </w:tcMar>
            <w:vAlign w:val="center"/>
          </w:tcPr>
          <w:p w14:paraId="3AB37C88">
            <w:pPr>
              <w:jc w:val="both"/>
              <w:rPr>
                <w:rFonts w:hint="default" w:ascii="Times New Roman" w:hAnsi="Times New Roman" w:eastAsia="黑体" w:cs="Times New Roman"/>
                <w:color w:val="auto"/>
                <w:kern w:val="2"/>
                <w:sz w:val="21"/>
                <w:szCs w:val="21"/>
                <w:lang w:eastAsia="zh-CN" w:bidi="ar-SA"/>
              </w:rPr>
            </w:pPr>
          </w:p>
        </w:tc>
        <w:tc>
          <w:tcPr>
            <w:tcW w:w="4689" w:type="dxa"/>
            <w:gridSpan w:val="2"/>
            <w:shd w:val="clear" w:color="auto" w:fill="auto"/>
            <w:tcMar>
              <w:left w:w="108" w:type="dxa"/>
              <w:right w:w="108" w:type="dxa"/>
            </w:tcMar>
            <w:vAlign w:val="center"/>
          </w:tcPr>
          <w:p w14:paraId="6C471E13">
            <w:pPr>
              <w:widowControl/>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（二）部分公开（区分处理的，只计这一情形，不计其他情形）</w:t>
            </w:r>
          </w:p>
        </w:tc>
        <w:tc>
          <w:tcPr>
            <w:tcW w:w="831" w:type="dxa"/>
            <w:shd w:val="clear" w:color="auto" w:fill="auto"/>
            <w:tcMar>
              <w:left w:w="108" w:type="dxa"/>
              <w:right w:w="108" w:type="dxa"/>
            </w:tcMar>
            <w:vAlign w:val="center"/>
          </w:tcPr>
          <w:p w14:paraId="286DBD6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5E1D0A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1ED8A4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39D3C17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1608D73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7A465CE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7296ED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6DD22EDF">
            <w:pPr>
              <w:jc w:val="both"/>
              <w:rPr>
                <w:rFonts w:hint="default" w:ascii="Times New Roman" w:hAnsi="Times New Roman" w:eastAsia="黑体" w:cs="Times New Roman"/>
                <w:color w:val="auto"/>
                <w:kern w:val="2"/>
                <w:sz w:val="21"/>
                <w:szCs w:val="21"/>
                <w:lang w:eastAsia="zh-CN" w:bidi="ar-SA"/>
              </w:rPr>
            </w:pPr>
          </w:p>
        </w:tc>
        <w:tc>
          <w:tcPr>
            <w:tcW w:w="1705" w:type="dxa"/>
            <w:vMerge w:val="restart"/>
            <w:shd w:val="clear" w:color="auto" w:fill="auto"/>
            <w:tcMar>
              <w:left w:w="108" w:type="dxa"/>
              <w:right w:w="108" w:type="dxa"/>
            </w:tcMar>
            <w:vAlign w:val="center"/>
          </w:tcPr>
          <w:p w14:paraId="5139BBDB">
            <w:pPr>
              <w:widowControl/>
              <w:spacing w:line="200" w:lineRule="exact"/>
              <w:ind w:left="-122" w:leftChars="-51"/>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（三）不予公开</w:t>
            </w:r>
          </w:p>
        </w:tc>
        <w:tc>
          <w:tcPr>
            <w:tcW w:w="2984" w:type="dxa"/>
            <w:shd w:val="clear" w:color="auto" w:fill="auto"/>
            <w:tcMar>
              <w:left w:w="108" w:type="dxa"/>
              <w:right w:w="108" w:type="dxa"/>
            </w:tcMar>
            <w:vAlign w:val="top"/>
          </w:tcPr>
          <w:p w14:paraId="5043CB3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1.属于国家秘密</w:t>
            </w:r>
          </w:p>
        </w:tc>
        <w:tc>
          <w:tcPr>
            <w:tcW w:w="831" w:type="dxa"/>
            <w:shd w:val="clear" w:color="auto" w:fill="auto"/>
            <w:tcMar>
              <w:left w:w="108" w:type="dxa"/>
              <w:right w:w="108" w:type="dxa"/>
            </w:tcMar>
            <w:vAlign w:val="center"/>
          </w:tcPr>
          <w:p w14:paraId="7B1B6B6B">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B8C266D">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0EBB60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17B672D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2FBC230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2AAEC873">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D12630F">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26D234EF">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47A4227E">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7519D29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2.其他法律行政法规禁止公开</w:t>
            </w:r>
          </w:p>
        </w:tc>
        <w:tc>
          <w:tcPr>
            <w:tcW w:w="831" w:type="dxa"/>
            <w:shd w:val="clear" w:color="auto" w:fill="auto"/>
            <w:tcMar>
              <w:left w:w="108" w:type="dxa"/>
              <w:right w:w="108" w:type="dxa"/>
            </w:tcMar>
            <w:vAlign w:val="center"/>
          </w:tcPr>
          <w:p w14:paraId="3F80F160">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40D3CA07">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718F63E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5AA6C3BF">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33A3DF9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1AD4FE9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383BC9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462E8945">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441C4DE4">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34277C1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3.危及“三安全一稳定”</w:t>
            </w:r>
          </w:p>
        </w:tc>
        <w:tc>
          <w:tcPr>
            <w:tcW w:w="831" w:type="dxa"/>
            <w:shd w:val="clear" w:color="auto" w:fill="auto"/>
            <w:tcMar>
              <w:left w:w="108" w:type="dxa"/>
              <w:right w:w="108" w:type="dxa"/>
            </w:tcMar>
            <w:vAlign w:val="center"/>
          </w:tcPr>
          <w:p w14:paraId="3B4C284C">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8521889">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D77CB0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4FAB87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0A3EA82E">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40E50AB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3DE659B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6B66575C">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1C6AB0F2">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1729D7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4.保护第三方合法权益</w:t>
            </w:r>
          </w:p>
        </w:tc>
        <w:tc>
          <w:tcPr>
            <w:tcW w:w="831" w:type="dxa"/>
            <w:shd w:val="clear" w:color="auto" w:fill="auto"/>
            <w:tcMar>
              <w:left w:w="108" w:type="dxa"/>
              <w:right w:w="108" w:type="dxa"/>
            </w:tcMar>
            <w:vAlign w:val="center"/>
          </w:tcPr>
          <w:p w14:paraId="2C6E3B88">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47A4951C">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3D9E27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069AE4B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0B5AC9B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1D5B7E6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437FE41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58CBB34E">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718CCD5A">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2BF4D55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5.属于三类内部事务信息</w:t>
            </w:r>
          </w:p>
        </w:tc>
        <w:tc>
          <w:tcPr>
            <w:tcW w:w="831" w:type="dxa"/>
            <w:shd w:val="clear" w:color="auto" w:fill="auto"/>
            <w:tcMar>
              <w:left w:w="108" w:type="dxa"/>
              <w:right w:w="108" w:type="dxa"/>
            </w:tcMar>
            <w:vAlign w:val="center"/>
          </w:tcPr>
          <w:p w14:paraId="69F00A9E">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B4B1904">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768A4FD">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553B987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511D03E3">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C3DD83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11BDA7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10E2FAF9">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18BB6199">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13C98D8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6.属于四类过程性信息</w:t>
            </w:r>
          </w:p>
        </w:tc>
        <w:tc>
          <w:tcPr>
            <w:tcW w:w="831" w:type="dxa"/>
            <w:shd w:val="clear" w:color="auto" w:fill="auto"/>
            <w:tcMar>
              <w:left w:w="108" w:type="dxa"/>
              <w:right w:w="108" w:type="dxa"/>
            </w:tcMar>
            <w:vAlign w:val="center"/>
          </w:tcPr>
          <w:p w14:paraId="147302A6">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4F1BF5F">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A399D46">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2683FF42">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7DE5FD9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63C49F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E9B389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578AD952">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537BC648">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5FEA3C2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7.属于行政执法案卷</w:t>
            </w:r>
          </w:p>
        </w:tc>
        <w:tc>
          <w:tcPr>
            <w:tcW w:w="831" w:type="dxa"/>
            <w:shd w:val="clear" w:color="auto" w:fill="auto"/>
            <w:tcMar>
              <w:left w:w="108" w:type="dxa"/>
              <w:right w:w="108" w:type="dxa"/>
            </w:tcMar>
            <w:vAlign w:val="center"/>
          </w:tcPr>
          <w:p w14:paraId="35E43F8A">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7209A923">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EC9E224">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1401EF2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4D12DC6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3481E57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7478016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44E7699F">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5CD27322">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3E4459E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8.属于行政查询事项</w:t>
            </w:r>
          </w:p>
        </w:tc>
        <w:tc>
          <w:tcPr>
            <w:tcW w:w="831" w:type="dxa"/>
            <w:shd w:val="clear" w:color="auto" w:fill="auto"/>
            <w:tcMar>
              <w:left w:w="108" w:type="dxa"/>
              <w:right w:w="108" w:type="dxa"/>
            </w:tcMar>
            <w:vAlign w:val="center"/>
          </w:tcPr>
          <w:p w14:paraId="094E4710">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8E6327B">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0BED3C2">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2B42DBC">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1ACAB2D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50B10E83">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12091EC">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52B1CBA5">
            <w:pPr>
              <w:jc w:val="both"/>
              <w:rPr>
                <w:rFonts w:hint="default" w:ascii="Times New Roman" w:hAnsi="Times New Roman" w:eastAsia="黑体" w:cs="Times New Roman"/>
                <w:color w:val="auto"/>
                <w:kern w:val="2"/>
                <w:sz w:val="21"/>
                <w:szCs w:val="21"/>
                <w:lang w:eastAsia="zh-CN" w:bidi="ar-SA"/>
              </w:rPr>
            </w:pPr>
          </w:p>
        </w:tc>
        <w:tc>
          <w:tcPr>
            <w:tcW w:w="1705" w:type="dxa"/>
            <w:vMerge w:val="restart"/>
            <w:shd w:val="clear" w:color="auto" w:fill="auto"/>
            <w:tcMar>
              <w:left w:w="108" w:type="dxa"/>
              <w:right w:w="108" w:type="dxa"/>
            </w:tcMar>
            <w:vAlign w:val="center"/>
          </w:tcPr>
          <w:p w14:paraId="0F250D93">
            <w:pPr>
              <w:widowControl/>
              <w:spacing w:line="200" w:lineRule="exact"/>
              <w:ind w:left="-122" w:leftChars="-51"/>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（四）无法提供</w:t>
            </w:r>
          </w:p>
        </w:tc>
        <w:tc>
          <w:tcPr>
            <w:tcW w:w="2984" w:type="dxa"/>
            <w:shd w:val="clear" w:color="auto" w:fill="auto"/>
            <w:tcMar>
              <w:left w:w="108" w:type="dxa"/>
              <w:right w:w="108" w:type="dxa"/>
            </w:tcMar>
            <w:vAlign w:val="top"/>
          </w:tcPr>
          <w:p w14:paraId="77D5F5D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1.本机关不掌握相关政府信息</w:t>
            </w:r>
          </w:p>
        </w:tc>
        <w:tc>
          <w:tcPr>
            <w:tcW w:w="831" w:type="dxa"/>
            <w:shd w:val="clear" w:color="auto" w:fill="auto"/>
            <w:tcMar>
              <w:left w:w="108" w:type="dxa"/>
              <w:right w:w="108" w:type="dxa"/>
            </w:tcMar>
            <w:vAlign w:val="center"/>
          </w:tcPr>
          <w:p w14:paraId="22C0A1F2">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B232FBD">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79F8415">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7AD3B4C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14DD2B7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29C66F7F">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C559D6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0C13DF39">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49E08DFB">
            <w:pPr>
              <w:spacing w:line="200" w:lineRule="exact"/>
              <w:ind w:left="-122" w:leftChars="-51"/>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67660F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2.没有现成信息需要另行制作</w:t>
            </w:r>
          </w:p>
        </w:tc>
        <w:tc>
          <w:tcPr>
            <w:tcW w:w="831" w:type="dxa"/>
            <w:shd w:val="clear" w:color="auto" w:fill="auto"/>
            <w:tcMar>
              <w:left w:w="108" w:type="dxa"/>
              <w:right w:w="108" w:type="dxa"/>
            </w:tcMar>
            <w:vAlign w:val="center"/>
          </w:tcPr>
          <w:p w14:paraId="472677A3">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450D187">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AC1D307">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F90D46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5A76A4F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2CF71BB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27F8F5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40FEF20E">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50E61784">
            <w:pPr>
              <w:spacing w:line="200" w:lineRule="exact"/>
              <w:ind w:left="-122" w:leftChars="-51"/>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4BDBFB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3.补正后申请内容仍不明确</w:t>
            </w:r>
          </w:p>
        </w:tc>
        <w:tc>
          <w:tcPr>
            <w:tcW w:w="831" w:type="dxa"/>
            <w:shd w:val="clear" w:color="auto" w:fill="auto"/>
            <w:tcMar>
              <w:left w:w="108" w:type="dxa"/>
              <w:right w:w="108" w:type="dxa"/>
            </w:tcMar>
            <w:vAlign w:val="center"/>
          </w:tcPr>
          <w:p w14:paraId="1D9925D0">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0ED78DC">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D91D197">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7CD7DF1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63E9219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FC4B58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717851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2500506F">
            <w:pPr>
              <w:jc w:val="both"/>
              <w:rPr>
                <w:rFonts w:hint="default" w:ascii="Times New Roman" w:hAnsi="Times New Roman" w:eastAsia="黑体" w:cs="Times New Roman"/>
                <w:color w:val="auto"/>
                <w:kern w:val="2"/>
                <w:sz w:val="21"/>
                <w:szCs w:val="21"/>
                <w:lang w:eastAsia="zh-CN" w:bidi="ar-SA"/>
              </w:rPr>
            </w:pPr>
          </w:p>
        </w:tc>
        <w:tc>
          <w:tcPr>
            <w:tcW w:w="1705" w:type="dxa"/>
            <w:vMerge w:val="restart"/>
            <w:shd w:val="clear" w:color="auto" w:fill="auto"/>
            <w:tcMar>
              <w:left w:w="108" w:type="dxa"/>
              <w:right w:w="108" w:type="dxa"/>
            </w:tcMar>
            <w:vAlign w:val="center"/>
          </w:tcPr>
          <w:p w14:paraId="370E1C67">
            <w:pPr>
              <w:widowControl/>
              <w:spacing w:line="200" w:lineRule="exact"/>
              <w:ind w:left="-122" w:leftChars="-51"/>
              <w:jc w:val="both"/>
              <w:rPr>
                <w:rFonts w:hint="default" w:ascii="Times New Roman" w:hAnsi="Times New Roman" w:eastAsia="黑体" w:cs="Times New Roman"/>
                <w:color w:val="auto"/>
                <w:kern w:val="2"/>
                <w:sz w:val="21"/>
                <w:szCs w:val="21"/>
                <w:lang w:eastAsia="zh-CN" w:bidi="ar-SA"/>
              </w:rPr>
            </w:pPr>
            <w:r>
              <w:rPr>
                <w:rFonts w:hint="default" w:ascii="Times New Roman" w:hAnsi="Times New Roman" w:eastAsia="黑体" w:cs="Times New Roman"/>
                <w:color w:val="auto"/>
                <w:kern w:val="0"/>
                <w:sz w:val="21"/>
                <w:szCs w:val="21"/>
                <w:lang w:eastAsia="zh-CN" w:bidi="ar-SA"/>
              </w:rPr>
              <w:t>（五）不予处理</w:t>
            </w:r>
          </w:p>
        </w:tc>
        <w:tc>
          <w:tcPr>
            <w:tcW w:w="2984" w:type="dxa"/>
            <w:shd w:val="clear" w:color="auto" w:fill="auto"/>
            <w:tcMar>
              <w:left w:w="108" w:type="dxa"/>
              <w:right w:w="108" w:type="dxa"/>
            </w:tcMar>
            <w:vAlign w:val="top"/>
          </w:tcPr>
          <w:p w14:paraId="65124A2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1.信访举报投诉类申请</w:t>
            </w:r>
          </w:p>
        </w:tc>
        <w:tc>
          <w:tcPr>
            <w:tcW w:w="831" w:type="dxa"/>
            <w:shd w:val="clear" w:color="auto" w:fill="auto"/>
            <w:tcMar>
              <w:left w:w="108" w:type="dxa"/>
              <w:right w:w="108" w:type="dxa"/>
            </w:tcMar>
            <w:vAlign w:val="center"/>
          </w:tcPr>
          <w:p w14:paraId="5D6534EB">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C7F0EB8">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4A8BE65">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07935D6C">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10B4EC3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0716F67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58C203E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6944609F">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47765D40">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5FA6602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2.重复申请</w:t>
            </w:r>
          </w:p>
        </w:tc>
        <w:tc>
          <w:tcPr>
            <w:tcW w:w="831" w:type="dxa"/>
            <w:shd w:val="clear" w:color="auto" w:fill="auto"/>
            <w:tcMar>
              <w:left w:w="108" w:type="dxa"/>
              <w:right w:w="108" w:type="dxa"/>
            </w:tcMar>
            <w:vAlign w:val="center"/>
          </w:tcPr>
          <w:p w14:paraId="69D3D70F">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6DD879E4">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6034033A">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5441103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2DC5054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6BC36C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69D9467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07AC1BB8">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2EE583B0">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448C3D7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3.要求提供公开出版物</w:t>
            </w:r>
          </w:p>
        </w:tc>
        <w:tc>
          <w:tcPr>
            <w:tcW w:w="831" w:type="dxa"/>
            <w:shd w:val="clear" w:color="auto" w:fill="auto"/>
            <w:tcMar>
              <w:left w:w="108" w:type="dxa"/>
              <w:right w:w="108" w:type="dxa"/>
            </w:tcMar>
            <w:vAlign w:val="center"/>
          </w:tcPr>
          <w:p w14:paraId="3950023A">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84B6812">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0DD1BC34">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15DD4A17">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58B6EE9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73EEB30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00B19B2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417" w:type="dxa"/>
            <w:vMerge w:val="continue"/>
            <w:shd w:val="clear" w:color="auto" w:fill="auto"/>
            <w:tcMar>
              <w:left w:w="108" w:type="dxa"/>
              <w:right w:w="108" w:type="dxa"/>
            </w:tcMar>
            <w:vAlign w:val="center"/>
          </w:tcPr>
          <w:p w14:paraId="598E0721">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797137E8">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27D2E4E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4.无正当理由大量反复申请</w:t>
            </w:r>
          </w:p>
        </w:tc>
        <w:tc>
          <w:tcPr>
            <w:tcW w:w="831" w:type="dxa"/>
            <w:shd w:val="clear" w:color="auto" w:fill="auto"/>
            <w:tcMar>
              <w:left w:w="108" w:type="dxa"/>
              <w:right w:w="108" w:type="dxa"/>
            </w:tcMar>
            <w:vAlign w:val="center"/>
          </w:tcPr>
          <w:p w14:paraId="2129B237">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9FFAD75">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8A6F9B4">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26E1010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2203233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3F889CE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4F06DE5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417" w:type="dxa"/>
            <w:vMerge w:val="continue"/>
            <w:shd w:val="clear" w:color="auto" w:fill="auto"/>
            <w:tcMar>
              <w:left w:w="108" w:type="dxa"/>
              <w:right w:w="108" w:type="dxa"/>
            </w:tcMar>
            <w:vAlign w:val="center"/>
          </w:tcPr>
          <w:p w14:paraId="2B6DFD67">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20E94EC2">
            <w:pPr>
              <w:spacing w:line="200" w:lineRule="exact"/>
              <w:jc w:val="both"/>
              <w:rPr>
                <w:rFonts w:hint="default" w:ascii="Times New Roman" w:hAnsi="Times New Roman" w:eastAsia="黑体" w:cs="Times New Roman"/>
                <w:color w:val="auto"/>
                <w:kern w:val="2"/>
                <w:sz w:val="21"/>
                <w:szCs w:val="21"/>
                <w:lang w:eastAsia="zh-CN" w:bidi="ar-SA"/>
              </w:rPr>
            </w:pPr>
          </w:p>
        </w:tc>
        <w:tc>
          <w:tcPr>
            <w:tcW w:w="2984" w:type="dxa"/>
            <w:shd w:val="clear" w:color="auto" w:fill="auto"/>
            <w:tcMar>
              <w:left w:w="108" w:type="dxa"/>
              <w:right w:w="108" w:type="dxa"/>
            </w:tcMar>
            <w:vAlign w:val="top"/>
          </w:tcPr>
          <w:p w14:paraId="0521358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5.要求行政机关确认或重新</w:t>
            </w:r>
          </w:p>
          <w:p w14:paraId="5D9BF0F7">
            <w:pPr>
              <w:keepNext w:val="0"/>
              <w:keepLines w:val="0"/>
              <w:pageBreakBefore w:val="0"/>
              <w:widowControl/>
              <w:kinsoku/>
              <w:wordWrap/>
              <w:overflowPunct/>
              <w:topLinePunct w:val="0"/>
              <w:autoSpaceDE/>
              <w:autoSpaceDN/>
              <w:bidi w:val="0"/>
              <w:adjustRightInd/>
              <w:snapToGrid/>
              <w:spacing w:line="560" w:lineRule="exact"/>
              <w:ind w:firstLine="210" w:firstLineChars="100"/>
              <w:jc w:val="both"/>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出具已获取信息</w:t>
            </w:r>
          </w:p>
        </w:tc>
        <w:tc>
          <w:tcPr>
            <w:tcW w:w="831" w:type="dxa"/>
            <w:shd w:val="clear" w:color="auto" w:fill="auto"/>
            <w:tcMar>
              <w:left w:w="108" w:type="dxa"/>
              <w:right w:w="108" w:type="dxa"/>
            </w:tcMar>
            <w:vAlign w:val="center"/>
          </w:tcPr>
          <w:p w14:paraId="2DB8E98E">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70A016D0">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BB773BF">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3984142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096AA7E2">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4058093F">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6F2BB67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17" w:type="dxa"/>
            <w:vMerge w:val="continue"/>
            <w:shd w:val="clear" w:color="auto" w:fill="auto"/>
            <w:tcMar>
              <w:left w:w="108" w:type="dxa"/>
              <w:right w:w="108" w:type="dxa"/>
            </w:tcMar>
            <w:vAlign w:val="center"/>
          </w:tcPr>
          <w:p w14:paraId="4FEB6AC4">
            <w:pPr>
              <w:jc w:val="both"/>
              <w:rPr>
                <w:rFonts w:hint="default" w:ascii="Times New Roman" w:hAnsi="Times New Roman" w:eastAsia="黑体" w:cs="Times New Roman"/>
                <w:color w:val="auto"/>
                <w:kern w:val="2"/>
                <w:sz w:val="21"/>
                <w:szCs w:val="21"/>
                <w:lang w:eastAsia="zh-CN" w:bidi="ar-SA"/>
              </w:rPr>
            </w:pPr>
          </w:p>
        </w:tc>
        <w:tc>
          <w:tcPr>
            <w:tcW w:w="1705" w:type="dxa"/>
            <w:vMerge w:val="restart"/>
            <w:shd w:val="clear" w:color="auto" w:fill="auto"/>
            <w:tcMar>
              <w:left w:w="108" w:type="dxa"/>
              <w:right w:w="108" w:type="dxa"/>
            </w:tcMar>
            <w:vAlign w:val="center"/>
          </w:tcPr>
          <w:p w14:paraId="3795D44E">
            <w:pPr>
              <w:widowControl/>
              <w:spacing w:line="300" w:lineRule="exact"/>
              <w:jc w:val="both"/>
              <w:rPr>
                <w:rFonts w:hint="default" w:ascii="Times New Roman" w:hAnsi="Times New Roman" w:eastAsia="黑体" w:cs="Times New Roman"/>
                <w:color w:val="auto"/>
                <w:kern w:val="0"/>
                <w:sz w:val="21"/>
                <w:szCs w:val="21"/>
                <w:lang w:eastAsia="zh-CN" w:bidi="ar-SA"/>
              </w:rPr>
            </w:pPr>
            <w:r>
              <w:rPr>
                <w:rFonts w:hint="default" w:ascii="Times New Roman" w:hAnsi="Times New Roman" w:eastAsia="黑体" w:cs="Times New Roman"/>
                <w:color w:val="auto"/>
                <w:kern w:val="0"/>
                <w:sz w:val="21"/>
                <w:szCs w:val="21"/>
                <w:lang w:eastAsia="zh-CN" w:bidi="ar-SA"/>
              </w:rPr>
              <w:t>（六）其他处理</w:t>
            </w:r>
          </w:p>
        </w:tc>
        <w:tc>
          <w:tcPr>
            <w:tcW w:w="2984" w:type="dxa"/>
            <w:shd w:val="clear" w:color="auto" w:fill="auto"/>
            <w:vAlign w:val="center"/>
          </w:tcPr>
          <w:p w14:paraId="534C459B">
            <w:pPr>
              <w:widowControl/>
              <w:spacing w:line="300" w:lineRule="exact"/>
              <w:jc w:val="both"/>
              <w:rPr>
                <w:rFonts w:hint="default" w:ascii="Times New Roman" w:hAnsi="Times New Roman" w:eastAsia="仿宋_GB2312" w:cs="Times New Roman"/>
                <w:color w:val="auto"/>
                <w:kern w:val="2"/>
                <w:sz w:val="21"/>
                <w:szCs w:val="22"/>
                <w:lang w:eastAsia="zh-CN" w:bidi="ar-SA"/>
              </w:rPr>
            </w:pPr>
            <w:r>
              <w:rPr>
                <w:rFonts w:hint="default" w:ascii="Times New Roman" w:hAnsi="Times New Roman" w:eastAsia="仿宋_GB2312" w:cs="Times New Roman"/>
                <w:color w:val="auto"/>
                <w:kern w:val="2"/>
                <w:sz w:val="21"/>
                <w:szCs w:val="22"/>
                <w:lang w:eastAsia="zh-CN" w:bidi="ar-SA"/>
              </w:rPr>
              <w:t>1.申请人无正当理由逾期不补正、行政机关不再处理其政府信息公开申请</w:t>
            </w:r>
          </w:p>
        </w:tc>
        <w:tc>
          <w:tcPr>
            <w:tcW w:w="831" w:type="dxa"/>
            <w:shd w:val="clear" w:color="auto" w:fill="auto"/>
            <w:tcMar>
              <w:left w:w="108" w:type="dxa"/>
              <w:right w:w="108" w:type="dxa"/>
            </w:tcMar>
            <w:vAlign w:val="center"/>
          </w:tcPr>
          <w:p w14:paraId="5822FC09">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43CA119">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E2B0476">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16058C26">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4BDA70A4">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55F775AE">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09289A2E">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17" w:type="dxa"/>
            <w:vMerge w:val="continue"/>
            <w:shd w:val="clear" w:color="auto" w:fill="auto"/>
            <w:tcMar>
              <w:left w:w="108" w:type="dxa"/>
              <w:right w:w="108" w:type="dxa"/>
            </w:tcMar>
            <w:vAlign w:val="center"/>
          </w:tcPr>
          <w:p w14:paraId="38E9799F">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6D092900">
            <w:pPr>
              <w:widowControl/>
              <w:spacing w:line="300" w:lineRule="exact"/>
              <w:jc w:val="both"/>
              <w:rPr>
                <w:rFonts w:hint="default" w:ascii="Times New Roman" w:hAnsi="Times New Roman" w:eastAsia="黑体" w:cs="Times New Roman"/>
                <w:color w:val="auto"/>
                <w:kern w:val="0"/>
                <w:sz w:val="21"/>
                <w:szCs w:val="21"/>
                <w:lang w:eastAsia="zh-CN" w:bidi="ar-SA"/>
              </w:rPr>
            </w:pPr>
          </w:p>
        </w:tc>
        <w:tc>
          <w:tcPr>
            <w:tcW w:w="2984" w:type="dxa"/>
            <w:shd w:val="clear" w:color="auto" w:fill="auto"/>
            <w:vAlign w:val="center"/>
          </w:tcPr>
          <w:p w14:paraId="6209576F">
            <w:pPr>
              <w:widowControl/>
              <w:spacing w:line="300" w:lineRule="exact"/>
              <w:jc w:val="both"/>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2.申请人逾期未按收费通知要求缴纳费用、行政机关不再处理其政府信息公开申请</w:t>
            </w:r>
          </w:p>
        </w:tc>
        <w:tc>
          <w:tcPr>
            <w:tcW w:w="831" w:type="dxa"/>
            <w:shd w:val="clear" w:color="auto" w:fill="auto"/>
            <w:tcMar>
              <w:left w:w="108" w:type="dxa"/>
              <w:right w:w="108" w:type="dxa"/>
            </w:tcMar>
            <w:vAlign w:val="center"/>
          </w:tcPr>
          <w:p w14:paraId="00534CAD">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6C46835">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5796EC26">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92913B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12FC46F3">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AB216F8">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1513B73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17" w:type="dxa"/>
            <w:vMerge w:val="continue"/>
            <w:shd w:val="clear" w:color="auto" w:fill="auto"/>
            <w:tcMar>
              <w:left w:w="108" w:type="dxa"/>
              <w:right w:w="108" w:type="dxa"/>
            </w:tcMar>
            <w:vAlign w:val="center"/>
          </w:tcPr>
          <w:p w14:paraId="65E3AAFC">
            <w:pPr>
              <w:jc w:val="both"/>
              <w:rPr>
                <w:rFonts w:hint="default" w:ascii="Times New Roman" w:hAnsi="Times New Roman" w:eastAsia="黑体" w:cs="Times New Roman"/>
                <w:color w:val="auto"/>
                <w:kern w:val="2"/>
                <w:sz w:val="21"/>
                <w:szCs w:val="21"/>
                <w:lang w:eastAsia="zh-CN" w:bidi="ar-SA"/>
              </w:rPr>
            </w:pPr>
          </w:p>
        </w:tc>
        <w:tc>
          <w:tcPr>
            <w:tcW w:w="1705" w:type="dxa"/>
            <w:vMerge w:val="continue"/>
            <w:shd w:val="clear" w:color="auto" w:fill="auto"/>
            <w:tcMar>
              <w:left w:w="108" w:type="dxa"/>
              <w:right w:w="108" w:type="dxa"/>
            </w:tcMar>
            <w:vAlign w:val="center"/>
          </w:tcPr>
          <w:p w14:paraId="1D957475">
            <w:pPr>
              <w:widowControl/>
              <w:spacing w:line="300" w:lineRule="exact"/>
              <w:jc w:val="both"/>
              <w:rPr>
                <w:rFonts w:hint="default" w:ascii="Times New Roman" w:hAnsi="Times New Roman" w:eastAsia="黑体" w:cs="Times New Roman"/>
                <w:color w:val="auto"/>
                <w:kern w:val="0"/>
                <w:sz w:val="21"/>
                <w:szCs w:val="21"/>
                <w:lang w:eastAsia="zh-CN" w:bidi="ar-SA"/>
              </w:rPr>
            </w:pPr>
          </w:p>
        </w:tc>
        <w:tc>
          <w:tcPr>
            <w:tcW w:w="2984" w:type="dxa"/>
            <w:shd w:val="clear" w:color="auto" w:fill="auto"/>
            <w:vAlign w:val="center"/>
          </w:tcPr>
          <w:p w14:paraId="1B06D8C4">
            <w:pPr>
              <w:widowControl/>
              <w:spacing w:line="300" w:lineRule="exact"/>
              <w:jc w:val="both"/>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3.其他</w:t>
            </w:r>
          </w:p>
        </w:tc>
        <w:tc>
          <w:tcPr>
            <w:tcW w:w="831" w:type="dxa"/>
            <w:shd w:val="clear" w:color="auto" w:fill="auto"/>
            <w:tcMar>
              <w:left w:w="108" w:type="dxa"/>
              <w:right w:w="108" w:type="dxa"/>
            </w:tcMar>
            <w:vAlign w:val="center"/>
          </w:tcPr>
          <w:p w14:paraId="64DBBF36">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BE2F69A">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2A7E65B1">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63D1FC0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3211D9DB">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1489E3D0">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03EF2A2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17" w:type="dxa"/>
            <w:vMerge w:val="continue"/>
            <w:shd w:val="clear" w:color="auto" w:fill="auto"/>
            <w:tcMar>
              <w:left w:w="108" w:type="dxa"/>
              <w:right w:w="108" w:type="dxa"/>
            </w:tcMar>
            <w:vAlign w:val="center"/>
          </w:tcPr>
          <w:p w14:paraId="6D0433F7">
            <w:pPr>
              <w:jc w:val="both"/>
              <w:rPr>
                <w:rFonts w:hint="default" w:ascii="Times New Roman" w:hAnsi="Times New Roman" w:eastAsia="黑体" w:cs="Times New Roman"/>
                <w:color w:val="auto"/>
                <w:kern w:val="2"/>
                <w:sz w:val="21"/>
                <w:szCs w:val="21"/>
                <w:lang w:eastAsia="zh-CN" w:bidi="ar-SA"/>
              </w:rPr>
            </w:pPr>
          </w:p>
        </w:tc>
        <w:tc>
          <w:tcPr>
            <w:tcW w:w="4689" w:type="dxa"/>
            <w:gridSpan w:val="2"/>
            <w:shd w:val="clear" w:color="auto" w:fill="auto"/>
            <w:tcMar>
              <w:left w:w="108" w:type="dxa"/>
              <w:right w:w="108" w:type="dxa"/>
            </w:tcMar>
            <w:vAlign w:val="center"/>
          </w:tcPr>
          <w:p w14:paraId="6E4B35DB">
            <w:pPr>
              <w:widowControl/>
              <w:spacing w:line="300" w:lineRule="exact"/>
              <w:jc w:val="both"/>
              <w:rPr>
                <w:rFonts w:hint="default" w:ascii="Times New Roman" w:hAnsi="Times New Roman" w:eastAsia="黑体" w:cs="Times New Roman"/>
                <w:color w:val="auto"/>
                <w:kern w:val="0"/>
                <w:sz w:val="21"/>
                <w:szCs w:val="21"/>
                <w:lang w:eastAsia="zh-CN" w:bidi="ar-SA"/>
              </w:rPr>
            </w:pPr>
            <w:r>
              <w:rPr>
                <w:rFonts w:hint="default" w:ascii="Times New Roman" w:hAnsi="Times New Roman" w:eastAsia="黑体" w:cs="Times New Roman"/>
                <w:color w:val="auto"/>
                <w:kern w:val="0"/>
                <w:sz w:val="21"/>
                <w:szCs w:val="21"/>
                <w:lang w:eastAsia="zh-CN" w:bidi="ar-SA"/>
              </w:rPr>
              <w:t>（七）总计</w:t>
            </w:r>
          </w:p>
        </w:tc>
        <w:tc>
          <w:tcPr>
            <w:tcW w:w="831" w:type="dxa"/>
            <w:shd w:val="clear" w:color="auto" w:fill="auto"/>
            <w:tcMar>
              <w:left w:w="108" w:type="dxa"/>
              <w:right w:w="108" w:type="dxa"/>
            </w:tcMar>
            <w:vAlign w:val="center"/>
          </w:tcPr>
          <w:p w14:paraId="2FA580E6">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62A1C34F">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1BAE0FCF">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31A3C67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35981ED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513E6791">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5079EA35">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106" w:type="dxa"/>
            <w:gridSpan w:val="3"/>
            <w:shd w:val="clear" w:color="auto" w:fill="auto"/>
            <w:tcMar>
              <w:left w:w="108" w:type="dxa"/>
              <w:right w:w="108" w:type="dxa"/>
            </w:tcMar>
            <w:vAlign w:val="center"/>
          </w:tcPr>
          <w:p w14:paraId="1731A5B0">
            <w:pPr>
              <w:widowControl/>
              <w:spacing w:line="300" w:lineRule="exact"/>
              <w:jc w:val="both"/>
              <w:rPr>
                <w:rFonts w:hint="default" w:ascii="Times New Roman" w:hAnsi="Times New Roman" w:eastAsia="黑体" w:cs="Times New Roman"/>
                <w:color w:val="auto"/>
                <w:kern w:val="0"/>
                <w:sz w:val="21"/>
                <w:szCs w:val="21"/>
                <w:lang w:eastAsia="zh-CN" w:bidi="ar-SA"/>
              </w:rPr>
            </w:pPr>
            <w:r>
              <w:rPr>
                <w:rFonts w:hint="default" w:ascii="Times New Roman" w:hAnsi="Times New Roman" w:eastAsia="黑体" w:cs="Times New Roman"/>
                <w:color w:val="auto"/>
                <w:kern w:val="0"/>
                <w:sz w:val="21"/>
                <w:szCs w:val="21"/>
                <w:lang w:eastAsia="zh-CN" w:bidi="ar-SA"/>
              </w:rPr>
              <w:t>四、结转下年度继续办理</w:t>
            </w:r>
          </w:p>
        </w:tc>
        <w:tc>
          <w:tcPr>
            <w:tcW w:w="831" w:type="dxa"/>
            <w:shd w:val="clear" w:color="auto" w:fill="auto"/>
            <w:tcMar>
              <w:left w:w="108" w:type="dxa"/>
              <w:right w:w="108" w:type="dxa"/>
            </w:tcMar>
            <w:vAlign w:val="center"/>
          </w:tcPr>
          <w:p w14:paraId="2E1C3EF8">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7B1F0333">
            <w:pPr>
              <w:widowControl/>
              <w:spacing w:after="180" w:line="200" w:lineRule="exact"/>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68" w:type="dxa"/>
            <w:shd w:val="clear" w:color="auto" w:fill="auto"/>
            <w:tcMar>
              <w:left w:w="108" w:type="dxa"/>
              <w:right w:w="108" w:type="dxa"/>
            </w:tcMar>
            <w:vAlign w:val="center"/>
          </w:tcPr>
          <w:p w14:paraId="3152C963">
            <w:pPr>
              <w:widowControl/>
              <w:spacing w:after="18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32" w:type="dxa"/>
            <w:shd w:val="clear" w:color="auto" w:fill="auto"/>
            <w:tcMar>
              <w:left w:w="108" w:type="dxa"/>
              <w:right w:w="108" w:type="dxa"/>
            </w:tcMar>
            <w:vAlign w:val="center"/>
          </w:tcPr>
          <w:p w14:paraId="4F77743A">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709" w:type="dxa"/>
            <w:shd w:val="clear" w:color="auto" w:fill="auto"/>
            <w:tcMar>
              <w:left w:w="108" w:type="dxa"/>
              <w:right w:w="108" w:type="dxa"/>
            </w:tcMar>
            <w:vAlign w:val="center"/>
          </w:tcPr>
          <w:p w14:paraId="51F29839">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571" w:type="dxa"/>
            <w:shd w:val="clear" w:color="auto" w:fill="auto"/>
            <w:tcMar>
              <w:left w:w="108" w:type="dxa"/>
              <w:right w:w="108" w:type="dxa"/>
            </w:tcMar>
            <w:vAlign w:val="center"/>
          </w:tcPr>
          <w:p w14:paraId="62DA0BBE">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c>
          <w:tcPr>
            <w:tcW w:w="854" w:type="dxa"/>
            <w:shd w:val="clear" w:color="auto" w:fill="auto"/>
            <w:tcMar>
              <w:left w:w="108" w:type="dxa"/>
              <w:right w:w="108" w:type="dxa"/>
            </w:tcMar>
            <w:vAlign w:val="center"/>
          </w:tcPr>
          <w:p w14:paraId="26B08393">
            <w:pPr>
              <w:widowControl/>
              <w:spacing w:after="180"/>
              <w:jc w:val="center"/>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2"/>
                <w:sz w:val="21"/>
                <w:szCs w:val="21"/>
                <w:lang w:val="en-US" w:eastAsia="zh-CN" w:bidi="ar-SA"/>
              </w:rPr>
              <w:t>0</w:t>
            </w:r>
          </w:p>
        </w:tc>
      </w:tr>
    </w:tbl>
    <w:p w14:paraId="2AF86DEE">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5"/>
        <w:tblW w:w="5175" w:type="pct"/>
        <w:jc w:val="center"/>
        <w:shd w:val="clear" w:color="auto" w:fill="000000"/>
        <w:tblLayout w:type="autofit"/>
        <w:tblCellMar>
          <w:top w:w="0" w:type="dxa"/>
          <w:left w:w="10" w:type="dxa"/>
          <w:bottom w:w="0" w:type="dxa"/>
          <w:right w:w="10" w:type="dxa"/>
        </w:tblCellMar>
      </w:tblPr>
      <w:tblGrid>
        <w:gridCol w:w="595"/>
        <w:gridCol w:w="596"/>
        <w:gridCol w:w="596"/>
        <w:gridCol w:w="596"/>
        <w:gridCol w:w="483"/>
        <w:gridCol w:w="596"/>
        <w:gridCol w:w="596"/>
        <w:gridCol w:w="596"/>
        <w:gridCol w:w="596"/>
        <w:gridCol w:w="488"/>
        <w:gridCol w:w="596"/>
        <w:gridCol w:w="597"/>
        <w:gridCol w:w="597"/>
        <w:gridCol w:w="597"/>
        <w:gridCol w:w="492"/>
      </w:tblGrid>
      <w:tr w14:paraId="369B57FD">
        <w:tblPrEx>
          <w:shd w:val="clear" w:color="auto" w:fill="000000"/>
          <w:tblCellMar>
            <w:top w:w="0" w:type="dxa"/>
            <w:left w:w="10" w:type="dxa"/>
            <w:bottom w:w="0" w:type="dxa"/>
            <w:right w:w="10" w:type="dxa"/>
          </w:tblCellMar>
        </w:tblPrEx>
        <w:trPr>
          <w:trHeight w:val="452" w:hRule="atLeast"/>
          <w:jc w:val="center"/>
        </w:trPr>
        <w:tc>
          <w:tcPr>
            <w:tcW w:w="1663" w:type="pct"/>
            <w:gridSpan w:val="5"/>
            <w:tcBorders>
              <w:top w:val="single" w:color="auto" w:sz="4" w:space="0"/>
              <w:left w:val="single" w:color="auto" w:sz="4" w:space="0"/>
            </w:tcBorders>
            <w:shd w:val="clear" w:color="auto" w:fill="auto"/>
            <w:vAlign w:val="center"/>
          </w:tcPr>
          <w:p w14:paraId="50DB703B">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行政复议</w:t>
            </w:r>
          </w:p>
        </w:tc>
        <w:tc>
          <w:tcPr>
            <w:tcW w:w="3336" w:type="pct"/>
            <w:gridSpan w:val="10"/>
            <w:tcBorders>
              <w:top w:val="single" w:color="auto" w:sz="4" w:space="0"/>
              <w:left w:val="single" w:color="auto" w:sz="4" w:space="0"/>
              <w:right w:val="single" w:color="auto" w:sz="4" w:space="0"/>
            </w:tcBorders>
            <w:shd w:val="clear" w:color="auto" w:fill="auto"/>
            <w:vAlign w:val="center"/>
          </w:tcPr>
          <w:p w14:paraId="04C6B04F">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行政诉讼</w:t>
            </w:r>
          </w:p>
        </w:tc>
      </w:tr>
      <w:tr w14:paraId="53AF0D62">
        <w:tblPrEx>
          <w:shd w:val="clear" w:color="auto" w:fill="000000"/>
          <w:tblCellMar>
            <w:top w:w="0" w:type="dxa"/>
            <w:left w:w="10" w:type="dxa"/>
            <w:bottom w:w="0" w:type="dxa"/>
            <w:right w:w="10" w:type="dxa"/>
          </w:tblCellMar>
        </w:tblPrEx>
        <w:trPr>
          <w:trHeight w:val="452" w:hRule="atLeast"/>
          <w:jc w:val="center"/>
        </w:trPr>
        <w:tc>
          <w:tcPr>
            <w:tcW w:w="345" w:type="pct"/>
            <w:vMerge w:val="restart"/>
            <w:tcBorders>
              <w:top w:val="single" w:color="auto" w:sz="4" w:space="0"/>
              <w:left w:val="single" w:color="auto" w:sz="4" w:space="0"/>
            </w:tcBorders>
            <w:shd w:val="clear" w:color="auto" w:fill="auto"/>
            <w:vAlign w:val="center"/>
          </w:tcPr>
          <w:p w14:paraId="2B012780">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维持</w:t>
            </w:r>
          </w:p>
        </w:tc>
        <w:tc>
          <w:tcPr>
            <w:tcW w:w="346" w:type="pct"/>
            <w:vMerge w:val="restart"/>
            <w:tcBorders>
              <w:top w:val="single" w:color="auto" w:sz="4" w:space="0"/>
              <w:left w:val="single" w:color="auto" w:sz="4" w:space="0"/>
            </w:tcBorders>
            <w:shd w:val="clear" w:color="auto" w:fill="auto"/>
            <w:vAlign w:val="center"/>
          </w:tcPr>
          <w:p w14:paraId="2335F245">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纠正</w:t>
            </w:r>
          </w:p>
        </w:tc>
        <w:tc>
          <w:tcPr>
            <w:tcW w:w="346" w:type="pct"/>
            <w:vMerge w:val="restart"/>
            <w:tcBorders>
              <w:top w:val="single" w:color="auto" w:sz="4" w:space="0"/>
              <w:left w:val="single" w:color="auto" w:sz="4" w:space="0"/>
            </w:tcBorders>
            <w:shd w:val="clear" w:color="auto" w:fill="auto"/>
            <w:vAlign w:val="center"/>
          </w:tcPr>
          <w:p w14:paraId="78E899F6">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其他 结果</w:t>
            </w:r>
          </w:p>
        </w:tc>
        <w:tc>
          <w:tcPr>
            <w:tcW w:w="346" w:type="pct"/>
            <w:vMerge w:val="restart"/>
            <w:tcBorders>
              <w:top w:val="single" w:color="auto" w:sz="4" w:space="0"/>
              <w:left w:val="single" w:color="auto" w:sz="4" w:space="0"/>
            </w:tcBorders>
            <w:shd w:val="clear" w:color="auto" w:fill="auto"/>
            <w:vAlign w:val="center"/>
          </w:tcPr>
          <w:p w14:paraId="7F2E6337">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尚未 审结</w:t>
            </w:r>
          </w:p>
        </w:tc>
        <w:tc>
          <w:tcPr>
            <w:tcW w:w="277" w:type="pct"/>
            <w:vMerge w:val="restart"/>
            <w:tcBorders>
              <w:top w:val="single" w:color="auto" w:sz="4" w:space="0"/>
              <w:left w:val="single" w:color="auto" w:sz="4" w:space="0"/>
            </w:tcBorders>
            <w:shd w:val="clear" w:color="auto" w:fill="auto"/>
            <w:textDirection w:val="tbRlV"/>
            <w:vAlign w:val="bottom"/>
          </w:tcPr>
          <w:p w14:paraId="75317CE2">
            <w:pPr>
              <w:pStyle w:val="9"/>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shd w:val="clear" w:color="auto" w:fill="auto"/>
              </w:rPr>
            </w:pPr>
            <w:r>
              <w:rPr>
                <w:rFonts w:ascii="Times New Roman" w:hAnsi="Times New Roman" w:cs="Times New Roman"/>
                <w:color w:val="auto"/>
                <w:shd w:val="clear" w:color="auto" w:fill="auto"/>
              </w:rPr>
              <w:t>总计</w:t>
            </w:r>
          </w:p>
        </w:tc>
        <w:tc>
          <w:tcPr>
            <w:tcW w:w="1667" w:type="pct"/>
            <w:gridSpan w:val="5"/>
            <w:tcBorders>
              <w:top w:val="single" w:color="auto" w:sz="4" w:space="0"/>
              <w:left w:val="single" w:color="auto" w:sz="4" w:space="0"/>
            </w:tcBorders>
            <w:shd w:val="clear" w:color="auto" w:fill="auto"/>
            <w:vAlign w:val="center"/>
          </w:tcPr>
          <w:p w14:paraId="4438A0C2">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未经复议直接起诉</w:t>
            </w:r>
          </w:p>
        </w:tc>
        <w:tc>
          <w:tcPr>
            <w:tcW w:w="1668" w:type="pct"/>
            <w:gridSpan w:val="5"/>
            <w:tcBorders>
              <w:top w:val="single" w:color="auto" w:sz="4" w:space="0"/>
              <w:left w:val="single" w:color="auto" w:sz="4" w:space="0"/>
              <w:right w:val="single" w:color="auto" w:sz="4" w:space="0"/>
            </w:tcBorders>
            <w:shd w:val="clear" w:color="auto" w:fill="auto"/>
            <w:vAlign w:val="center"/>
          </w:tcPr>
          <w:p w14:paraId="68137593">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复议后起诉</w:t>
            </w:r>
          </w:p>
        </w:tc>
      </w:tr>
      <w:tr w14:paraId="00F61AD6">
        <w:tblPrEx>
          <w:shd w:val="clear" w:color="auto" w:fill="000000"/>
          <w:tblCellMar>
            <w:top w:w="0" w:type="dxa"/>
            <w:left w:w="10" w:type="dxa"/>
            <w:bottom w:w="0" w:type="dxa"/>
            <w:right w:w="10" w:type="dxa"/>
          </w:tblCellMar>
        </w:tblPrEx>
        <w:trPr>
          <w:trHeight w:val="895" w:hRule="atLeast"/>
          <w:jc w:val="center"/>
        </w:trPr>
        <w:tc>
          <w:tcPr>
            <w:tcW w:w="345" w:type="pct"/>
            <w:vMerge w:val="continue"/>
            <w:tcBorders>
              <w:left w:val="single" w:color="auto" w:sz="4" w:space="0"/>
            </w:tcBorders>
            <w:shd w:val="clear" w:color="auto" w:fill="auto"/>
            <w:vAlign w:val="center"/>
          </w:tcPr>
          <w:p w14:paraId="6F6E3DA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shd w:val="clear" w:color="auto" w:fill="auto"/>
              </w:rPr>
            </w:pPr>
          </w:p>
        </w:tc>
        <w:tc>
          <w:tcPr>
            <w:tcW w:w="346" w:type="pct"/>
            <w:vMerge w:val="continue"/>
            <w:tcBorders>
              <w:left w:val="single" w:color="auto" w:sz="4" w:space="0"/>
            </w:tcBorders>
            <w:shd w:val="clear" w:color="auto" w:fill="auto"/>
            <w:vAlign w:val="center"/>
          </w:tcPr>
          <w:p w14:paraId="3560AB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shd w:val="clear" w:color="auto" w:fill="auto"/>
              </w:rPr>
            </w:pPr>
          </w:p>
        </w:tc>
        <w:tc>
          <w:tcPr>
            <w:tcW w:w="346" w:type="pct"/>
            <w:vMerge w:val="continue"/>
            <w:tcBorders>
              <w:left w:val="single" w:color="auto" w:sz="4" w:space="0"/>
            </w:tcBorders>
            <w:shd w:val="clear" w:color="auto" w:fill="auto"/>
            <w:vAlign w:val="center"/>
          </w:tcPr>
          <w:p w14:paraId="184EEC3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shd w:val="clear" w:color="auto" w:fill="auto"/>
              </w:rPr>
            </w:pPr>
          </w:p>
        </w:tc>
        <w:tc>
          <w:tcPr>
            <w:tcW w:w="346" w:type="pct"/>
            <w:vMerge w:val="continue"/>
            <w:tcBorders>
              <w:left w:val="single" w:color="auto" w:sz="4" w:space="0"/>
            </w:tcBorders>
            <w:shd w:val="clear" w:color="auto" w:fill="auto"/>
            <w:vAlign w:val="center"/>
          </w:tcPr>
          <w:p w14:paraId="09545CC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shd w:val="clear" w:color="auto" w:fill="auto"/>
              </w:rPr>
            </w:pPr>
          </w:p>
        </w:tc>
        <w:tc>
          <w:tcPr>
            <w:tcW w:w="277" w:type="pct"/>
            <w:vMerge w:val="continue"/>
            <w:tcBorders>
              <w:left w:val="single" w:color="auto" w:sz="4" w:space="0"/>
            </w:tcBorders>
            <w:shd w:val="clear" w:color="auto" w:fill="auto"/>
            <w:textDirection w:val="tbRlV"/>
            <w:vAlign w:val="bottom"/>
          </w:tcPr>
          <w:p w14:paraId="6A70FA9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shd w:val="clear" w:color="auto" w:fill="auto"/>
              </w:rPr>
            </w:pPr>
          </w:p>
        </w:tc>
        <w:tc>
          <w:tcPr>
            <w:tcW w:w="346" w:type="pct"/>
            <w:tcBorders>
              <w:top w:val="single" w:color="auto" w:sz="4" w:space="0"/>
              <w:left w:val="single" w:color="auto" w:sz="4" w:space="0"/>
            </w:tcBorders>
            <w:shd w:val="clear" w:color="auto" w:fill="auto"/>
            <w:vAlign w:val="center"/>
          </w:tcPr>
          <w:p w14:paraId="3ACF8B96">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维持</w:t>
            </w:r>
          </w:p>
        </w:tc>
        <w:tc>
          <w:tcPr>
            <w:tcW w:w="346" w:type="pct"/>
            <w:tcBorders>
              <w:top w:val="single" w:color="auto" w:sz="4" w:space="0"/>
              <w:left w:val="single" w:color="auto" w:sz="4" w:space="0"/>
            </w:tcBorders>
            <w:shd w:val="clear" w:color="auto" w:fill="auto"/>
            <w:vAlign w:val="center"/>
          </w:tcPr>
          <w:p w14:paraId="327B645E">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纠正</w:t>
            </w:r>
          </w:p>
        </w:tc>
        <w:tc>
          <w:tcPr>
            <w:tcW w:w="346" w:type="pct"/>
            <w:tcBorders>
              <w:top w:val="single" w:color="auto" w:sz="4" w:space="0"/>
              <w:left w:val="single" w:color="auto" w:sz="4" w:space="0"/>
            </w:tcBorders>
            <w:shd w:val="clear" w:color="auto" w:fill="auto"/>
            <w:vAlign w:val="center"/>
          </w:tcPr>
          <w:p w14:paraId="472C474E">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其他 结果</w:t>
            </w:r>
          </w:p>
        </w:tc>
        <w:tc>
          <w:tcPr>
            <w:tcW w:w="346" w:type="pct"/>
            <w:tcBorders>
              <w:top w:val="single" w:color="auto" w:sz="4" w:space="0"/>
              <w:left w:val="single" w:color="auto" w:sz="4" w:space="0"/>
            </w:tcBorders>
            <w:shd w:val="clear" w:color="auto" w:fill="auto"/>
            <w:vAlign w:val="center"/>
          </w:tcPr>
          <w:p w14:paraId="6DE424F6">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尚未 审结</w:t>
            </w:r>
          </w:p>
        </w:tc>
        <w:tc>
          <w:tcPr>
            <w:tcW w:w="280" w:type="pct"/>
            <w:tcBorders>
              <w:top w:val="single" w:color="auto" w:sz="4" w:space="0"/>
              <w:left w:val="single" w:color="auto" w:sz="4" w:space="0"/>
            </w:tcBorders>
            <w:shd w:val="clear" w:color="auto" w:fill="auto"/>
            <w:textDirection w:val="tbRlV"/>
          </w:tcPr>
          <w:p w14:paraId="4DDF6557">
            <w:pPr>
              <w:pStyle w:val="9"/>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shd w:val="clear" w:color="auto" w:fill="auto"/>
              </w:rPr>
            </w:pPr>
            <w:r>
              <w:rPr>
                <w:rFonts w:ascii="Times New Roman" w:hAnsi="Times New Roman" w:cs="Times New Roman"/>
                <w:color w:val="auto"/>
                <w:shd w:val="clear" w:color="auto" w:fill="auto"/>
              </w:rPr>
              <w:t>总计</w:t>
            </w:r>
          </w:p>
        </w:tc>
        <w:tc>
          <w:tcPr>
            <w:tcW w:w="346" w:type="pct"/>
            <w:tcBorders>
              <w:top w:val="single" w:color="auto" w:sz="4" w:space="0"/>
              <w:left w:val="single" w:color="auto" w:sz="4" w:space="0"/>
            </w:tcBorders>
            <w:shd w:val="clear" w:color="auto" w:fill="auto"/>
            <w:vAlign w:val="center"/>
          </w:tcPr>
          <w:p w14:paraId="79BD5D15">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维持</w:t>
            </w:r>
          </w:p>
        </w:tc>
        <w:tc>
          <w:tcPr>
            <w:tcW w:w="346" w:type="pct"/>
            <w:tcBorders>
              <w:top w:val="single" w:color="auto" w:sz="4" w:space="0"/>
              <w:left w:val="single" w:color="auto" w:sz="4" w:space="0"/>
            </w:tcBorders>
            <w:shd w:val="clear" w:color="auto" w:fill="auto"/>
            <w:vAlign w:val="center"/>
          </w:tcPr>
          <w:p w14:paraId="2246611A">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结果 纠正</w:t>
            </w:r>
          </w:p>
        </w:tc>
        <w:tc>
          <w:tcPr>
            <w:tcW w:w="346" w:type="pct"/>
            <w:tcBorders>
              <w:top w:val="single" w:color="auto" w:sz="4" w:space="0"/>
              <w:left w:val="single" w:color="auto" w:sz="4" w:space="0"/>
            </w:tcBorders>
            <w:shd w:val="clear" w:color="auto" w:fill="auto"/>
            <w:vAlign w:val="center"/>
          </w:tcPr>
          <w:p w14:paraId="1BD374AD">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其他 结果</w:t>
            </w:r>
          </w:p>
        </w:tc>
        <w:tc>
          <w:tcPr>
            <w:tcW w:w="346" w:type="pct"/>
            <w:tcBorders>
              <w:top w:val="single" w:color="auto" w:sz="4" w:space="0"/>
              <w:left w:val="single" w:color="auto" w:sz="4" w:space="0"/>
            </w:tcBorders>
            <w:shd w:val="clear" w:color="auto" w:fill="auto"/>
            <w:vAlign w:val="center"/>
          </w:tcPr>
          <w:p w14:paraId="23C89F69">
            <w:pPr>
              <w:pStyle w:val="11"/>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shd w:val="clear" w:color="auto" w:fill="auto"/>
              </w:rPr>
            </w:pPr>
            <w:r>
              <w:rPr>
                <w:rFonts w:ascii="Times New Roman" w:hAnsi="Times New Roman" w:cs="Times New Roman"/>
                <w:color w:val="auto"/>
                <w:sz w:val="20"/>
                <w:szCs w:val="20"/>
                <w:shd w:val="clear" w:color="auto" w:fill="auto"/>
              </w:rPr>
              <w:t>尚未 审结</w:t>
            </w:r>
          </w:p>
        </w:tc>
        <w:tc>
          <w:tcPr>
            <w:tcW w:w="280" w:type="pct"/>
            <w:tcBorders>
              <w:top w:val="single" w:color="auto" w:sz="4" w:space="0"/>
              <w:left w:val="single" w:color="auto" w:sz="4" w:space="0"/>
              <w:right w:val="single" w:color="auto" w:sz="4" w:space="0"/>
            </w:tcBorders>
            <w:shd w:val="clear" w:color="auto" w:fill="auto"/>
            <w:textDirection w:val="tbRlV"/>
          </w:tcPr>
          <w:p w14:paraId="213CE063">
            <w:pPr>
              <w:pStyle w:val="9"/>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shd w:val="clear" w:color="auto" w:fill="auto"/>
              </w:rPr>
            </w:pPr>
            <w:r>
              <w:rPr>
                <w:rFonts w:ascii="Times New Roman" w:hAnsi="Times New Roman" w:cs="Times New Roman"/>
                <w:color w:val="auto"/>
                <w:shd w:val="clear" w:color="auto" w:fill="auto"/>
              </w:rPr>
              <w:t>总计</w:t>
            </w:r>
          </w:p>
        </w:tc>
      </w:tr>
      <w:tr w14:paraId="165BD31B">
        <w:tblPrEx>
          <w:shd w:val="clear" w:color="auto" w:fill="000000"/>
          <w:tblCellMar>
            <w:top w:w="0" w:type="dxa"/>
            <w:left w:w="10" w:type="dxa"/>
            <w:bottom w:w="0" w:type="dxa"/>
            <w:right w:w="10" w:type="dxa"/>
          </w:tblCellMar>
        </w:tblPrEx>
        <w:trPr>
          <w:trHeight w:val="462" w:hRule="atLeast"/>
          <w:jc w:val="center"/>
        </w:trPr>
        <w:tc>
          <w:tcPr>
            <w:tcW w:w="345" w:type="pct"/>
            <w:tcBorders>
              <w:top w:val="single" w:color="auto" w:sz="4" w:space="0"/>
              <w:left w:val="single" w:color="auto" w:sz="4" w:space="0"/>
              <w:bottom w:val="single" w:color="auto" w:sz="4" w:space="0"/>
            </w:tcBorders>
            <w:shd w:val="clear" w:color="auto" w:fill="auto"/>
            <w:vAlign w:val="center"/>
          </w:tcPr>
          <w:p w14:paraId="398DFC5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68E7B92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2CB50B6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45AC423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277" w:type="pct"/>
            <w:tcBorders>
              <w:top w:val="single" w:color="auto" w:sz="4" w:space="0"/>
              <w:left w:val="single" w:color="auto" w:sz="4" w:space="0"/>
              <w:bottom w:val="single" w:color="auto" w:sz="4" w:space="0"/>
            </w:tcBorders>
            <w:shd w:val="clear" w:color="auto" w:fill="auto"/>
            <w:vAlign w:val="center"/>
          </w:tcPr>
          <w:p w14:paraId="00D6B71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16247B8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264EF02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6DAADCC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6B385B8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280" w:type="pct"/>
            <w:tcBorders>
              <w:top w:val="single" w:color="auto" w:sz="4" w:space="0"/>
              <w:left w:val="single" w:color="auto" w:sz="4" w:space="0"/>
              <w:bottom w:val="single" w:color="auto" w:sz="4" w:space="0"/>
            </w:tcBorders>
            <w:shd w:val="clear" w:color="auto" w:fill="auto"/>
            <w:vAlign w:val="center"/>
          </w:tcPr>
          <w:p w14:paraId="0E81887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3907516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3BADCBF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2C3ADFC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346" w:type="pct"/>
            <w:tcBorders>
              <w:top w:val="single" w:color="auto" w:sz="4" w:space="0"/>
              <w:left w:val="single" w:color="auto" w:sz="4" w:space="0"/>
              <w:bottom w:val="single" w:color="auto" w:sz="4" w:space="0"/>
            </w:tcBorders>
            <w:shd w:val="clear" w:color="auto" w:fill="auto"/>
            <w:vAlign w:val="center"/>
          </w:tcPr>
          <w:p w14:paraId="4F66327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2106D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eastAsia="宋体"/>
                <w:color w:val="auto"/>
                <w:sz w:val="28"/>
                <w:szCs w:val="28"/>
                <w:shd w:val="clear" w:color="auto" w:fill="auto"/>
                <w:lang w:val="en-US" w:eastAsia="zh-CN"/>
              </w:rPr>
            </w:pPr>
            <w:r>
              <w:rPr>
                <w:rFonts w:hint="eastAsia" w:eastAsia="宋体"/>
                <w:color w:val="auto"/>
                <w:sz w:val="28"/>
                <w:szCs w:val="28"/>
                <w:shd w:val="clear" w:color="auto" w:fill="auto"/>
                <w:lang w:val="en-US" w:eastAsia="zh-CN"/>
              </w:rPr>
              <w:t>0</w:t>
            </w:r>
          </w:p>
        </w:tc>
      </w:tr>
    </w:tbl>
    <w:p w14:paraId="4C42B7E4">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bCs/>
          <w:color w:val="auto"/>
          <w:kern w:val="0"/>
          <w:sz w:val="32"/>
          <w:szCs w:val="32"/>
          <w:lang w:val="en-US" w:eastAsia="zh-CN" w:bidi="zh-TW"/>
        </w:rPr>
        <w:t>五、</w:t>
      </w:r>
      <w:r>
        <w:rPr>
          <w:rFonts w:hint="default" w:ascii="Times New Roman" w:hAnsi="Times New Roman" w:eastAsia="黑体" w:cs="Times New Roman"/>
          <w:bCs/>
          <w:color w:val="auto"/>
          <w:kern w:val="0"/>
          <w:sz w:val="32"/>
          <w:szCs w:val="32"/>
          <w:lang w:val="zh-TW" w:eastAsia="zh-CN" w:bidi="zh-TW"/>
        </w:rPr>
        <w:t>存在的主要问题及改进情况</w:t>
      </w:r>
    </w:p>
    <w:p w14:paraId="3DA74F35">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5C760075">
      <w:pPr>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en-US"/>
        </w:rPr>
      </w:pPr>
      <w:r>
        <w:rPr>
          <w:rFonts w:hint="default" w:ascii="Times New Roman" w:hAnsi="Times New Roman" w:eastAsia="仿宋_GB2312" w:cs="Times New Roman"/>
          <w:b w:val="0"/>
          <w:bCs w:val="0"/>
          <w:color w:val="auto"/>
          <w:kern w:val="0"/>
          <w:sz w:val="32"/>
          <w:szCs w:val="32"/>
          <w:lang w:val="en-US" w:eastAsia="zh-CN" w:bidi="en-US"/>
        </w:rPr>
        <w:t>我局聚焦公众需求导向，采取线上问卷、留言征集与线下座谈相结合的方式，广泛收集社会各界对信息公开的意见建议，并以此为依据动态优化公开内容与重点领域，切实增强信息的适用性和服务性。在呈现形式上，积极拓展多元化表达方式，在文字基础上融入图示、图解、短视频等可视化载体，对政策文件、统计数据进行生动解读与直观呈现。例如，制作政策简明动画、数据一览图等，有效提升信息的可读性和传播效率。</w:t>
      </w:r>
    </w:p>
    <w:p w14:paraId="78A3465A">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6B55B3A1">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en-US"/>
        </w:rPr>
      </w:pPr>
      <w:r>
        <w:rPr>
          <w:rFonts w:hint="eastAsia" w:ascii="Times New Roman" w:hAnsi="Times New Roman" w:eastAsia="仿宋_GB2312" w:cs="Times New Roman"/>
          <w:b w:val="0"/>
          <w:bCs w:val="0"/>
          <w:color w:val="auto"/>
          <w:kern w:val="0"/>
          <w:sz w:val="32"/>
          <w:szCs w:val="32"/>
          <w:lang w:val="en-US" w:eastAsia="zh-CN" w:bidi="en-US"/>
        </w:rPr>
        <w:t>思想认知偏差，主动公开动力不足</w:t>
      </w:r>
      <w:r>
        <w:rPr>
          <w:rFonts w:hint="eastAsia" w:eastAsia="仿宋_GB2312" w:cs="Times New Roman"/>
          <w:b w:val="0"/>
          <w:bCs w:val="0"/>
          <w:color w:val="auto"/>
          <w:kern w:val="0"/>
          <w:sz w:val="32"/>
          <w:szCs w:val="32"/>
          <w:lang w:val="en-US" w:eastAsia="zh-CN" w:bidi="en-US"/>
        </w:rPr>
        <w:t>。</w:t>
      </w:r>
      <w:r>
        <w:rPr>
          <w:rFonts w:hint="eastAsia" w:ascii="Times New Roman" w:hAnsi="Times New Roman" w:eastAsia="仿宋_GB2312" w:cs="Times New Roman"/>
          <w:b w:val="0"/>
          <w:bCs w:val="0"/>
          <w:color w:val="auto"/>
          <w:kern w:val="0"/>
          <w:sz w:val="32"/>
          <w:szCs w:val="32"/>
          <w:lang w:val="en-US" w:eastAsia="zh-CN" w:bidi="en-US"/>
        </w:rPr>
        <w:t>工作人员对政务信息公开的核心意义认知不到位，将其视为“额外负担”而非法定职责，存在“多一事不如少一事”的消极心态</w:t>
      </w:r>
      <w:r>
        <w:rPr>
          <w:rFonts w:hint="eastAsia" w:eastAsia="仿宋_GB2312" w:cs="Times New Roman"/>
          <w:b w:val="0"/>
          <w:bCs w:val="0"/>
          <w:color w:val="auto"/>
          <w:kern w:val="0"/>
          <w:sz w:val="32"/>
          <w:szCs w:val="32"/>
          <w:lang w:val="en-US" w:eastAsia="zh-CN" w:bidi="en-US"/>
        </w:rPr>
        <w:t>，</w:t>
      </w:r>
      <w:r>
        <w:rPr>
          <w:rFonts w:hint="eastAsia" w:ascii="Times New Roman" w:hAnsi="Times New Roman" w:eastAsia="仿宋_GB2312" w:cs="Times New Roman"/>
          <w:b w:val="0"/>
          <w:bCs w:val="0"/>
          <w:color w:val="auto"/>
          <w:kern w:val="0"/>
          <w:sz w:val="32"/>
          <w:szCs w:val="32"/>
          <w:lang w:val="en-US" w:eastAsia="zh-CN" w:bidi="en-US"/>
        </w:rPr>
        <w:t>主动公开意识淡薄，仅满足于完成最低公开要求。</w:t>
      </w:r>
    </w:p>
    <w:p w14:paraId="27FCAA8A">
      <w:pPr>
        <w:keepNext w:val="0"/>
        <w:keepLines w:val="0"/>
        <w:pageBreakBefore w:val="0"/>
        <w:widowControl/>
        <w:numPr>
          <w:ilvl w:val="0"/>
          <w:numId w:val="1"/>
        </w:numPr>
        <w:shd w:val="clear" w:color="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改进措施　</w:t>
      </w:r>
    </w:p>
    <w:p w14:paraId="21519A1E">
      <w:pPr>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color w:val="auto"/>
          <w:kern w:val="0"/>
          <w:sz w:val="32"/>
          <w:szCs w:val="32"/>
          <w:lang w:val="en-US" w:eastAsia="zh-CN" w:bidi="en-US"/>
        </w:rPr>
      </w:pPr>
      <w:r>
        <w:rPr>
          <w:rFonts w:hint="eastAsia" w:ascii="Times New Roman" w:hAnsi="Times New Roman" w:eastAsia="仿宋_GB2312" w:cs="Times New Roman"/>
          <w:b w:val="0"/>
          <w:bCs w:val="0"/>
          <w:color w:val="auto"/>
          <w:kern w:val="0"/>
          <w:sz w:val="32"/>
          <w:szCs w:val="32"/>
          <w:lang w:val="en-US" w:eastAsia="zh-CN" w:bidi="en-US"/>
        </w:rPr>
        <w:t>深化认知教育，将政务公开纳入常态化学习内容，明确“公开是常态、不公开是例外”的法定原则，强化“以公开促落实、以公开促规范、以公开促服务”的工作导向，扭转“信息公开是麻烦事”的错误认知。加强专业培训，重点提升工作人员的政策把握能力、信息筛选能力、舆情回应能力，确保相关要求落地生根。</w:t>
      </w:r>
    </w:p>
    <w:p w14:paraId="57E0F9BF">
      <w:pPr>
        <w:keepNext w:val="0"/>
        <w:keepLines w:val="0"/>
        <w:pageBreakBefore w:val="0"/>
        <w:widowControl/>
        <w:shd w:val="clear" w:color="auto"/>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4"/>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48DEF5C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0"/>
          <w:sz w:val="32"/>
          <w:szCs w:val="32"/>
          <w:lang w:val="en-US" w:eastAsia="zh-CN" w:bidi="en-US"/>
        </w:rPr>
        <w:t>202</w:t>
      </w:r>
      <w:r>
        <w:rPr>
          <w:rFonts w:hint="eastAsia" w:eastAsia="仿宋_GB2312" w:cs="Times New Roman"/>
          <w:b w:val="0"/>
          <w:bCs w:val="0"/>
          <w:color w:val="auto"/>
          <w:kern w:val="0"/>
          <w:sz w:val="32"/>
          <w:szCs w:val="32"/>
          <w:lang w:val="en-US" w:eastAsia="zh-CN" w:bidi="en-US"/>
        </w:rPr>
        <w:t>5</w:t>
      </w:r>
      <w:r>
        <w:rPr>
          <w:rFonts w:hint="default" w:ascii="Times New Roman" w:hAnsi="Times New Roman" w:eastAsia="仿宋_GB2312" w:cs="Times New Roman"/>
          <w:b w:val="0"/>
          <w:bCs w:val="0"/>
          <w:color w:val="auto"/>
          <w:kern w:val="0"/>
          <w:sz w:val="32"/>
          <w:szCs w:val="32"/>
          <w:lang w:val="en-US" w:eastAsia="zh-CN" w:bidi="en-US"/>
        </w:rPr>
        <w:t>年，</w:t>
      </w:r>
      <w:r>
        <w:rPr>
          <w:rFonts w:hint="eastAsia" w:ascii="Times New Roman" w:hAnsi="Times New Roman" w:eastAsia="仿宋_GB2312" w:cs="Times New Roman"/>
          <w:b w:val="0"/>
          <w:bCs w:val="0"/>
          <w:color w:val="auto"/>
          <w:kern w:val="0"/>
          <w:sz w:val="32"/>
          <w:szCs w:val="32"/>
          <w:lang w:val="en-US" w:eastAsia="zh-CN" w:bidi="en-US"/>
        </w:rPr>
        <w:t>区</w:t>
      </w:r>
      <w:r>
        <w:rPr>
          <w:rFonts w:hint="default" w:ascii="Times New Roman" w:hAnsi="Times New Roman" w:eastAsia="仿宋_GB2312" w:cs="Times New Roman"/>
          <w:b w:val="0"/>
          <w:bCs w:val="0"/>
          <w:color w:val="auto"/>
          <w:kern w:val="0"/>
          <w:sz w:val="32"/>
          <w:szCs w:val="32"/>
          <w:lang w:val="en-US" w:eastAsia="zh-CN" w:bidi="en-US"/>
        </w:rPr>
        <w:t>文化和旅游局未受理依申请公开办理事项，没有因政府信息公开而提起的行政复议、行政诉讼。未发生政府信息公开信息处理费收费情况。</w:t>
      </w:r>
    </w:p>
    <w:p w14:paraId="35F1F67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bookmarkStart w:id="4" w:name="OLE_LINK5"/>
      <w:r>
        <w:rPr>
          <w:rFonts w:hint="default" w:ascii="Times New Roman" w:hAnsi="Times New Roman" w:eastAsia="仿宋_GB2312" w:cs="Times New Roman"/>
          <w:b/>
          <w:bCs/>
          <w:color w:val="auto"/>
          <w:sz w:val="32"/>
          <w:szCs w:val="32"/>
          <w:lang w:val="en-US" w:eastAsia="zh-CN"/>
        </w:rPr>
        <w:t>（二）落实上级年度政务公开工作要点情况</w:t>
      </w:r>
    </w:p>
    <w:bookmarkEnd w:id="4"/>
    <w:p w14:paraId="6B0A110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lang w:val="en-US" w:eastAsia="zh-CN" w:bidi="en-US"/>
        </w:rPr>
      </w:pPr>
      <w:r>
        <w:rPr>
          <w:rFonts w:hint="default" w:ascii="Times New Roman" w:hAnsi="Times New Roman" w:eastAsia="仿宋_GB2312" w:cs="Times New Roman"/>
          <w:b w:val="0"/>
          <w:bCs w:val="0"/>
          <w:color w:val="auto"/>
          <w:kern w:val="0"/>
          <w:sz w:val="32"/>
          <w:szCs w:val="32"/>
          <w:lang w:val="en-US" w:eastAsia="zh-CN" w:bidi="en-US"/>
        </w:rPr>
        <w:t>围绕上级重大决策部署和文化和旅游领域重点工作，及时发布文化惠民工程、公共文化服务体系建设、文旅市场监管等领域政策文件，提升政策知晓度与落地实效。同时，建立健全文旅领域舆情监测和回应机制，重点关注文旅市场秩序、景区服务质量、节假日文旅出行、文化遗产保护等社会热点问题，主动回应公众关切，及时化解疑虑。</w:t>
      </w:r>
    </w:p>
    <w:p w14:paraId="239B010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lang w:val="en-US" w:eastAsia="zh-CN" w:bidi="en-US"/>
        </w:rPr>
      </w:pPr>
      <w:r>
        <w:rPr>
          <w:rFonts w:hint="default" w:ascii="Times New Roman" w:hAnsi="Times New Roman" w:eastAsia="仿宋_GB2312" w:cs="Times New Roman"/>
          <w:b w:val="0"/>
          <w:bCs w:val="0"/>
          <w:color w:val="auto"/>
          <w:kern w:val="0"/>
          <w:sz w:val="32"/>
          <w:szCs w:val="32"/>
          <w:lang w:val="en-US" w:eastAsia="zh-CN" w:bidi="en-US"/>
        </w:rPr>
        <w:t>聚焦文旅市场监管核心职责，规范行政处罚信息公开流程，全面公开文化和旅游市场行政处罚相关信息。通过清晰、透明的行政处罚信息公开，引导文旅经营主体依法合规经营、从业人员规范执业，同时保障公众的知情权与监督权，营造公平有序的文旅市场环境。</w:t>
      </w:r>
    </w:p>
    <w:p w14:paraId="23595C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09FD72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bidi="en-US"/>
        </w:rPr>
        <w:t>202</w:t>
      </w:r>
      <w:r>
        <w:rPr>
          <w:rFonts w:hint="eastAsia" w:ascii="Times New Roman" w:hAnsi="Times New Roman" w:eastAsia="仿宋_GB2312" w:cs="Times New Roman"/>
          <w:b w:val="0"/>
          <w:bCs w:val="0"/>
          <w:color w:val="auto"/>
          <w:kern w:val="0"/>
          <w:sz w:val="32"/>
          <w:szCs w:val="32"/>
          <w:lang w:val="en-US" w:eastAsia="zh-CN" w:bidi="en-US"/>
        </w:rPr>
        <w:t>5</w:t>
      </w:r>
      <w:r>
        <w:rPr>
          <w:rFonts w:hint="default" w:ascii="Times New Roman" w:hAnsi="Times New Roman" w:eastAsia="仿宋_GB2312" w:cs="Times New Roman"/>
          <w:b w:val="0"/>
          <w:bCs w:val="0"/>
          <w:color w:val="auto"/>
          <w:kern w:val="0"/>
          <w:sz w:val="32"/>
          <w:szCs w:val="32"/>
          <w:lang w:val="en-US" w:eastAsia="zh-CN" w:bidi="en-US"/>
        </w:rPr>
        <w:t>年，我局共承办区</w:t>
      </w:r>
      <w:r>
        <w:rPr>
          <w:rFonts w:hint="eastAsia" w:eastAsia="仿宋_GB2312" w:cs="Times New Roman"/>
          <w:b w:val="0"/>
          <w:bCs w:val="0"/>
          <w:color w:val="auto"/>
          <w:kern w:val="0"/>
          <w:sz w:val="32"/>
          <w:szCs w:val="32"/>
          <w:lang w:val="en-US" w:eastAsia="zh-CN" w:bidi="en-US"/>
        </w:rPr>
        <w:t>十三</w:t>
      </w:r>
      <w:r>
        <w:rPr>
          <w:rFonts w:hint="default" w:ascii="Times New Roman" w:hAnsi="Times New Roman" w:eastAsia="仿宋_GB2312" w:cs="Times New Roman"/>
          <w:b w:val="0"/>
          <w:bCs w:val="0"/>
          <w:color w:val="auto"/>
          <w:kern w:val="0"/>
          <w:sz w:val="32"/>
          <w:szCs w:val="32"/>
          <w:lang w:val="en-US" w:eastAsia="zh-CN" w:bidi="en-US"/>
        </w:rPr>
        <w:t>届人大</w:t>
      </w:r>
      <w:r>
        <w:rPr>
          <w:rFonts w:hint="eastAsia" w:eastAsia="仿宋_GB2312" w:cs="Times New Roman"/>
          <w:b w:val="0"/>
          <w:bCs w:val="0"/>
          <w:color w:val="auto"/>
          <w:kern w:val="0"/>
          <w:sz w:val="32"/>
          <w:szCs w:val="32"/>
          <w:lang w:val="en-US" w:eastAsia="zh-CN" w:bidi="en-US"/>
        </w:rPr>
        <w:t>四</w:t>
      </w:r>
      <w:r>
        <w:rPr>
          <w:rFonts w:hint="default" w:ascii="Times New Roman" w:hAnsi="Times New Roman" w:eastAsia="仿宋_GB2312" w:cs="Times New Roman"/>
          <w:b w:val="0"/>
          <w:bCs w:val="0"/>
          <w:color w:val="auto"/>
          <w:kern w:val="0"/>
          <w:sz w:val="32"/>
          <w:szCs w:val="32"/>
          <w:lang w:val="en-US" w:eastAsia="zh-CN" w:bidi="en-US"/>
        </w:rPr>
        <w:t>次会议代表建议</w:t>
      </w:r>
      <w:r>
        <w:rPr>
          <w:rFonts w:hint="eastAsia" w:eastAsia="仿宋_GB2312" w:cs="Times New Roman"/>
          <w:b w:val="0"/>
          <w:bCs w:val="0"/>
          <w:color w:val="auto"/>
          <w:kern w:val="0"/>
          <w:sz w:val="32"/>
          <w:szCs w:val="32"/>
          <w:lang w:val="en-US" w:eastAsia="zh-CN" w:bidi="en-US"/>
        </w:rPr>
        <w:t>4</w:t>
      </w:r>
      <w:r>
        <w:rPr>
          <w:rFonts w:hint="eastAsia" w:ascii="Times New Roman" w:hAnsi="Times New Roman" w:eastAsia="仿宋_GB2312" w:cs="Times New Roman"/>
          <w:b w:val="0"/>
          <w:bCs w:val="0"/>
          <w:color w:val="auto"/>
          <w:kern w:val="0"/>
          <w:sz w:val="32"/>
          <w:szCs w:val="32"/>
          <w:lang w:val="en-US" w:eastAsia="zh-CN" w:bidi="en-US"/>
        </w:rPr>
        <w:t>件，其中主办</w:t>
      </w:r>
      <w:r>
        <w:rPr>
          <w:rFonts w:hint="eastAsia" w:eastAsia="仿宋_GB2312" w:cs="Times New Roman"/>
          <w:b w:val="0"/>
          <w:bCs w:val="0"/>
          <w:color w:val="auto"/>
          <w:kern w:val="0"/>
          <w:sz w:val="32"/>
          <w:szCs w:val="32"/>
          <w:lang w:val="en-US" w:eastAsia="zh-CN" w:bidi="en-US"/>
        </w:rPr>
        <w:t>4</w:t>
      </w:r>
      <w:r>
        <w:rPr>
          <w:rFonts w:hint="eastAsia" w:ascii="Times New Roman" w:hAnsi="Times New Roman" w:eastAsia="仿宋_GB2312" w:cs="Times New Roman"/>
          <w:b w:val="0"/>
          <w:bCs w:val="0"/>
          <w:color w:val="auto"/>
          <w:kern w:val="0"/>
          <w:sz w:val="32"/>
          <w:szCs w:val="32"/>
          <w:lang w:val="en-US" w:eastAsia="zh-CN" w:bidi="en-US"/>
        </w:rPr>
        <w:t>件</w:t>
      </w:r>
      <w:r>
        <w:rPr>
          <w:rFonts w:hint="eastAsia" w:eastAsia="仿宋_GB2312" w:cs="Times New Roman"/>
          <w:b w:val="0"/>
          <w:bCs w:val="0"/>
          <w:color w:val="auto"/>
          <w:kern w:val="0"/>
          <w:sz w:val="32"/>
          <w:szCs w:val="32"/>
          <w:lang w:val="en-US" w:eastAsia="zh-CN" w:bidi="en-US"/>
        </w:rPr>
        <w:t>，</w:t>
      </w:r>
      <w:r>
        <w:rPr>
          <w:rFonts w:hint="default" w:ascii="Times New Roman" w:hAnsi="Times New Roman" w:eastAsia="仿宋_GB2312" w:cs="Times New Roman"/>
          <w:b w:val="0"/>
          <w:bCs w:val="0"/>
          <w:color w:val="auto"/>
          <w:kern w:val="0"/>
          <w:sz w:val="32"/>
          <w:szCs w:val="32"/>
          <w:lang w:val="en-US" w:eastAsia="zh-CN" w:bidi="en-US"/>
        </w:rPr>
        <w:t>答复满意率</w:t>
      </w:r>
      <w:r>
        <w:rPr>
          <w:rFonts w:hint="eastAsia" w:eastAsia="仿宋_GB2312" w:cs="Times New Roman"/>
          <w:b w:val="0"/>
          <w:bCs w:val="0"/>
          <w:color w:val="auto"/>
          <w:kern w:val="0"/>
          <w:sz w:val="32"/>
          <w:szCs w:val="32"/>
          <w:lang w:val="en-US" w:eastAsia="zh-CN" w:bidi="en-US"/>
        </w:rPr>
        <w:t>100</w:t>
      </w:r>
      <w:r>
        <w:rPr>
          <w:rFonts w:hint="default" w:ascii="Times New Roman" w:hAnsi="Times New Roman" w:eastAsia="仿宋_GB2312" w:cs="Times New Roman"/>
          <w:b w:val="0"/>
          <w:bCs w:val="0"/>
          <w:color w:val="auto"/>
          <w:kern w:val="0"/>
          <w:sz w:val="32"/>
          <w:szCs w:val="32"/>
          <w:lang w:val="en-US" w:eastAsia="zh-CN" w:bidi="en-US"/>
        </w:rPr>
        <w:t>%</w:t>
      </w:r>
      <w:r>
        <w:rPr>
          <w:rFonts w:hint="eastAsia" w:ascii="Times New Roman" w:hAnsi="Times New Roman" w:eastAsia="仿宋_GB2312" w:cs="Times New Roman"/>
          <w:b w:val="0"/>
          <w:bCs w:val="0"/>
          <w:color w:val="auto"/>
          <w:kern w:val="0"/>
          <w:sz w:val="32"/>
          <w:szCs w:val="32"/>
          <w:lang w:val="en-US" w:eastAsia="zh-CN" w:bidi="en-US"/>
        </w:rPr>
        <w:t>；</w:t>
      </w:r>
      <w:r>
        <w:rPr>
          <w:rFonts w:hint="default" w:ascii="Times New Roman" w:hAnsi="Times New Roman" w:eastAsia="仿宋_GB2312" w:cs="Times New Roman"/>
          <w:b w:val="0"/>
          <w:bCs w:val="0"/>
          <w:color w:val="auto"/>
          <w:kern w:val="0"/>
          <w:sz w:val="32"/>
          <w:szCs w:val="32"/>
          <w:lang w:val="en-US" w:eastAsia="zh-CN" w:bidi="en-US"/>
        </w:rPr>
        <w:t>区政协十届四次会议提案</w:t>
      </w:r>
      <w:r>
        <w:rPr>
          <w:rFonts w:hint="eastAsia" w:eastAsia="仿宋_GB2312" w:cs="Times New Roman"/>
          <w:b w:val="0"/>
          <w:bCs w:val="0"/>
          <w:color w:val="auto"/>
          <w:kern w:val="0"/>
          <w:sz w:val="32"/>
          <w:szCs w:val="32"/>
          <w:lang w:val="en-US" w:eastAsia="zh-CN" w:bidi="en-US"/>
        </w:rPr>
        <w:t>16</w:t>
      </w:r>
      <w:r>
        <w:rPr>
          <w:rFonts w:hint="default" w:ascii="Times New Roman" w:hAnsi="Times New Roman" w:eastAsia="仿宋_GB2312" w:cs="Times New Roman"/>
          <w:b w:val="0"/>
          <w:bCs w:val="0"/>
          <w:color w:val="auto"/>
          <w:kern w:val="0"/>
          <w:sz w:val="32"/>
          <w:szCs w:val="32"/>
          <w:lang w:val="en-US" w:eastAsia="zh-CN" w:bidi="en-US"/>
        </w:rPr>
        <w:t>件，其中主办</w:t>
      </w:r>
      <w:r>
        <w:rPr>
          <w:rFonts w:hint="eastAsia" w:eastAsia="仿宋_GB2312" w:cs="Times New Roman"/>
          <w:b w:val="0"/>
          <w:bCs w:val="0"/>
          <w:color w:val="auto"/>
          <w:kern w:val="0"/>
          <w:sz w:val="32"/>
          <w:szCs w:val="32"/>
          <w:lang w:val="en-US" w:eastAsia="zh-CN" w:bidi="en-US"/>
        </w:rPr>
        <w:t>12</w:t>
      </w:r>
      <w:r>
        <w:rPr>
          <w:rFonts w:hint="default" w:ascii="Times New Roman" w:hAnsi="Times New Roman" w:eastAsia="仿宋_GB2312" w:cs="Times New Roman"/>
          <w:b w:val="0"/>
          <w:bCs w:val="0"/>
          <w:color w:val="auto"/>
          <w:kern w:val="0"/>
          <w:sz w:val="32"/>
          <w:szCs w:val="32"/>
          <w:lang w:val="en-US" w:eastAsia="zh-CN" w:bidi="en-US"/>
        </w:rPr>
        <w:t>件，协办</w:t>
      </w:r>
      <w:r>
        <w:rPr>
          <w:rFonts w:hint="eastAsia" w:eastAsia="仿宋_GB2312" w:cs="Times New Roman"/>
          <w:b w:val="0"/>
          <w:bCs w:val="0"/>
          <w:color w:val="auto"/>
          <w:kern w:val="0"/>
          <w:sz w:val="32"/>
          <w:szCs w:val="32"/>
          <w:lang w:val="en-US" w:eastAsia="zh-CN" w:bidi="en-US"/>
        </w:rPr>
        <w:t>4</w:t>
      </w:r>
      <w:r>
        <w:rPr>
          <w:rFonts w:hint="default" w:ascii="Times New Roman" w:hAnsi="Times New Roman" w:eastAsia="仿宋_GB2312" w:cs="Times New Roman"/>
          <w:b w:val="0"/>
          <w:bCs w:val="0"/>
          <w:color w:val="auto"/>
          <w:kern w:val="0"/>
          <w:sz w:val="32"/>
          <w:szCs w:val="32"/>
          <w:lang w:val="en-US" w:eastAsia="zh-CN" w:bidi="en-US"/>
        </w:rPr>
        <w:t>件，答复满意率</w:t>
      </w:r>
      <w:r>
        <w:rPr>
          <w:rFonts w:hint="eastAsia" w:eastAsia="仿宋_GB2312" w:cs="Times New Roman"/>
          <w:b w:val="0"/>
          <w:bCs w:val="0"/>
          <w:color w:val="auto"/>
          <w:kern w:val="0"/>
          <w:sz w:val="32"/>
          <w:szCs w:val="32"/>
          <w:lang w:val="en-US" w:eastAsia="zh-CN" w:bidi="en-US"/>
        </w:rPr>
        <w:t>100</w:t>
      </w:r>
      <w:r>
        <w:rPr>
          <w:rFonts w:hint="default" w:ascii="Times New Roman" w:hAnsi="Times New Roman" w:eastAsia="仿宋_GB2312" w:cs="Times New Roman"/>
          <w:b w:val="0"/>
          <w:bCs w:val="0"/>
          <w:color w:val="auto"/>
          <w:kern w:val="0"/>
          <w:sz w:val="32"/>
          <w:szCs w:val="32"/>
          <w:lang w:val="en-US" w:eastAsia="zh-CN" w:bidi="en-US"/>
        </w:rPr>
        <w:t>%。</w:t>
      </w:r>
    </w:p>
    <w:p w14:paraId="76FE6F0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1997637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val="0"/>
          <w:bCs w:val="0"/>
          <w:color w:val="auto"/>
          <w:kern w:val="0"/>
          <w:sz w:val="32"/>
          <w:szCs w:val="32"/>
          <w:lang w:val="en-US" w:eastAsia="zh-CN" w:bidi="en-US"/>
        </w:rPr>
        <w:t>市中区文化和旅游局在区文化馆成功举办2025年“政府开放月”活动。本次活动以“文旅赋能新生活  服务群众心贴心”为主题，邀请了乡镇（街道）文化工作者、文艺创作人员、文旅企业管理人员及热心群众等20余名代表参与，通过沉浸式体验、深度交流等形式，让公众近距离了解文旅工作，共话文旅发展。</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60CD9E0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default" w:ascii="Times New Roman" w:hAnsi="Times New Roman" w:eastAsia="仿宋_GB2312" w:cs="Times New Roman"/>
          <w:b w:val="0"/>
          <w:bCs w:val="0"/>
          <w:color w:val="auto"/>
          <w:kern w:val="0"/>
          <w:sz w:val="32"/>
          <w:szCs w:val="32"/>
          <w:shd w:val="clear" w:color="auto" w:fill="FFFFFF"/>
          <w:lang w:eastAsia="zh-CN" w:bidi="en-US"/>
        </w:rPr>
        <w:t>本报告所列数据的统计时限自202</w:t>
      </w:r>
      <w:r>
        <w:rPr>
          <w:rFonts w:hint="eastAsia" w:ascii="Times New Roman" w:hAnsi="Times New Roman" w:eastAsia="仿宋_GB2312" w:cs="Times New Roman"/>
          <w:b w:val="0"/>
          <w:bCs w:val="0"/>
          <w:color w:val="auto"/>
          <w:kern w:val="0"/>
          <w:sz w:val="32"/>
          <w:szCs w:val="32"/>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shd w:val="clear" w:color="auto" w:fill="FFFFFF"/>
          <w:lang w:eastAsia="zh-CN" w:bidi="en-US"/>
        </w:rPr>
        <w:t>年1月1日</w:t>
      </w:r>
      <w:r>
        <w:rPr>
          <w:rFonts w:hint="default" w:ascii="Times New Roman" w:hAnsi="Times New Roman" w:eastAsia="仿宋_GB2312" w:cs="Times New Roman"/>
          <w:b w:val="0"/>
          <w:bCs w:val="0"/>
          <w:color w:val="auto"/>
          <w:kern w:val="0"/>
          <w:sz w:val="32"/>
          <w:szCs w:val="32"/>
          <w:shd w:val="clear" w:color="auto" w:fill="FFFFFF"/>
          <w:lang w:val="en-US" w:eastAsia="zh-CN" w:bidi="en-US"/>
        </w:rPr>
        <w:t>起</w:t>
      </w:r>
      <w:r>
        <w:rPr>
          <w:rFonts w:hint="default" w:ascii="Times New Roman" w:hAnsi="Times New Roman" w:eastAsia="仿宋_GB2312" w:cs="Times New Roman"/>
          <w:b w:val="0"/>
          <w:bCs w:val="0"/>
          <w:color w:val="auto"/>
          <w:kern w:val="0"/>
          <w:sz w:val="32"/>
          <w:szCs w:val="32"/>
          <w:shd w:val="clear" w:color="auto" w:fill="FFFFFF"/>
          <w:lang w:eastAsia="zh-CN" w:bidi="en-US"/>
        </w:rPr>
        <w:t>至202</w:t>
      </w:r>
      <w:r>
        <w:rPr>
          <w:rFonts w:hint="eastAsia" w:ascii="Times New Roman" w:hAnsi="Times New Roman" w:eastAsia="仿宋_GB2312" w:cs="Times New Roman"/>
          <w:b w:val="0"/>
          <w:bCs w:val="0"/>
          <w:color w:val="auto"/>
          <w:kern w:val="0"/>
          <w:sz w:val="32"/>
          <w:szCs w:val="32"/>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shd w:val="clear" w:color="auto" w:fill="FFFFFF"/>
          <w:lang w:eastAsia="zh-CN" w:bidi="en-US"/>
        </w:rPr>
        <w:t>年12月31日</w:t>
      </w:r>
      <w:r>
        <w:rPr>
          <w:rFonts w:hint="default" w:ascii="Times New Roman" w:hAnsi="Times New Roman" w:eastAsia="仿宋_GB2312" w:cs="Times New Roman"/>
          <w:b w:val="0"/>
          <w:bCs w:val="0"/>
          <w:color w:val="auto"/>
          <w:kern w:val="0"/>
          <w:sz w:val="32"/>
          <w:szCs w:val="32"/>
          <w:shd w:val="clear" w:color="auto" w:fill="FFFFFF"/>
          <w:lang w:val="en-US" w:eastAsia="zh-CN" w:bidi="en-US"/>
        </w:rPr>
        <w:t>止</w:t>
      </w:r>
      <w:r>
        <w:rPr>
          <w:rFonts w:hint="default" w:ascii="Times New Roman" w:hAnsi="Times New Roman" w:eastAsia="仿宋_GB2312" w:cs="Times New Roman"/>
          <w:b w:val="0"/>
          <w:bCs w:val="0"/>
          <w:color w:val="auto"/>
          <w:kern w:val="0"/>
          <w:sz w:val="32"/>
          <w:szCs w:val="32"/>
          <w:shd w:val="clear" w:color="auto" w:fill="FFFFFF"/>
          <w:lang w:eastAsia="zh-CN" w:bidi="en-US"/>
        </w:rPr>
        <w:t>。如对本报告有疑问，可与</w:t>
      </w:r>
      <w:r>
        <w:rPr>
          <w:rFonts w:hint="default" w:ascii="Times New Roman" w:hAnsi="Times New Roman" w:eastAsia="仿宋_GB2312" w:cs="Times New Roman"/>
          <w:b w:val="0"/>
          <w:bCs w:val="0"/>
          <w:color w:val="auto"/>
          <w:kern w:val="0"/>
          <w:sz w:val="32"/>
          <w:szCs w:val="32"/>
          <w:shd w:val="clear" w:color="auto" w:fill="FFFFFF"/>
          <w:lang w:val="en-US" w:eastAsia="zh-CN" w:bidi="en-US"/>
        </w:rPr>
        <w:t>市中区文化和旅游局</w:t>
      </w:r>
      <w:r>
        <w:rPr>
          <w:rFonts w:hint="default" w:ascii="Times New Roman" w:hAnsi="Times New Roman" w:eastAsia="仿宋_GB2312" w:cs="Times New Roman"/>
          <w:b w:val="0"/>
          <w:bCs w:val="0"/>
          <w:color w:val="auto"/>
          <w:kern w:val="0"/>
          <w:sz w:val="32"/>
          <w:szCs w:val="32"/>
          <w:shd w:val="clear" w:color="auto" w:fill="FFFFFF"/>
          <w:lang w:eastAsia="zh-CN" w:bidi="en-US"/>
        </w:rPr>
        <w:t>联系（地址</w:t>
      </w:r>
      <w:r>
        <w:rPr>
          <w:rFonts w:hint="eastAsia" w:eastAsia="仿宋_GB2312" w:cs="Times New Roman"/>
          <w:b w:val="0"/>
          <w:bCs w:val="0"/>
          <w:color w:val="auto"/>
          <w:kern w:val="0"/>
          <w:sz w:val="32"/>
          <w:szCs w:val="32"/>
          <w:shd w:val="clear" w:color="auto" w:fill="FFFFFF"/>
          <w:lang w:eastAsia="zh-CN" w:bidi="en-US"/>
        </w:rPr>
        <w:t>：</w:t>
      </w:r>
      <w:r>
        <w:rPr>
          <w:rFonts w:hint="default" w:ascii="Times New Roman" w:hAnsi="Times New Roman" w:eastAsia="仿宋_GB2312" w:cs="Times New Roman"/>
          <w:b w:val="0"/>
          <w:bCs w:val="0"/>
          <w:color w:val="auto"/>
          <w:kern w:val="0"/>
          <w:sz w:val="32"/>
          <w:szCs w:val="32"/>
          <w:shd w:val="clear" w:color="auto" w:fill="FFFFFF"/>
          <w:lang w:val="en-US" w:eastAsia="zh-CN" w:bidi="en-US"/>
        </w:rPr>
        <w:t>枣庄市市中区</w:t>
      </w:r>
      <w:r>
        <w:rPr>
          <w:rFonts w:hint="default" w:ascii="Times New Roman" w:hAnsi="Times New Roman" w:eastAsia="仿宋_GB2312" w:cs="Times New Roman"/>
          <w:b w:val="0"/>
          <w:bCs w:val="0"/>
          <w:color w:val="auto"/>
          <w:kern w:val="0"/>
          <w:sz w:val="32"/>
          <w:szCs w:val="32"/>
          <w:lang w:val="en-US" w:eastAsia="zh-CN" w:bidi="en-US"/>
        </w:rPr>
        <w:t>振兴北路125</w:t>
      </w:r>
      <w:r>
        <w:rPr>
          <w:rFonts w:hint="default" w:ascii="Times New Roman" w:hAnsi="Times New Roman" w:eastAsia="仿宋_GB2312" w:cs="Times New Roman"/>
          <w:b w:val="0"/>
          <w:bCs w:val="0"/>
          <w:color w:val="auto"/>
          <w:kern w:val="0"/>
          <w:sz w:val="32"/>
          <w:szCs w:val="32"/>
          <w:shd w:val="clear" w:color="auto" w:fill="FFFFFF"/>
          <w:lang w:val="en-US" w:eastAsia="zh-CN" w:bidi="en-US"/>
        </w:rPr>
        <w:t>号</w:t>
      </w:r>
      <w:r>
        <w:rPr>
          <w:rFonts w:hint="default" w:ascii="Times New Roman" w:hAnsi="Times New Roman" w:eastAsia="仿宋_GB2312" w:cs="Times New Roman"/>
          <w:b w:val="0"/>
          <w:bCs w:val="0"/>
          <w:color w:val="auto"/>
          <w:kern w:val="0"/>
          <w:sz w:val="32"/>
          <w:szCs w:val="32"/>
          <w:shd w:val="clear" w:color="auto" w:fill="FFFFFF"/>
          <w:lang w:eastAsia="zh-CN" w:bidi="en-US"/>
        </w:rPr>
        <w:t>，邮编：</w:t>
      </w:r>
      <w:r>
        <w:rPr>
          <w:rFonts w:hint="default" w:ascii="Times New Roman" w:hAnsi="Times New Roman" w:eastAsia="仿宋_GB2312" w:cs="Times New Roman"/>
          <w:b w:val="0"/>
          <w:bCs w:val="0"/>
          <w:color w:val="auto"/>
          <w:w w:val="90"/>
          <w:kern w:val="0"/>
          <w:sz w:val="32"/>
          <w:szCs w:val="32"/>
          <w:shd w:val="clear" w:color="auto" w:fill="FFFFFF"/>
          <w:lang w:val="en-US" w:eastAsia="zh-CN" w:bidi="en-US"/>
        </w:rPr>
        <w:t>277100</w:t>
      </w:r>
      <w:r>
        <w:rPr>
          <w:rFonts w:hint="default" w:ascii="Times New Roman" w:hAnsi="Times New Roman" w:eastAsia="仿宋_GB2312" w:cs="Times New Roman"/>
          <w:b w:val="0"/>
          <w:bCs w:val="0"/>
          <w:color w:val="auto"/>
          <w:kern w:val="0"/>
          <w:sz w:val="32"/>
          <w:szCs w:val="32"/>
          <w:shd w:val="clear" w:color="auto" w:fill="FFFFFF"/>
          <w:lang w:eastAsia="zh-CN" w:bidi="en-US"/>
        </w:rPr>
        <w:t>，电话：</w:t>
      </w:r>
      <w:r>
        <w:rPr>
          <w:rFonts w:hint="default" w:ascii="Times New Roman" w:hAnsi="Times New Roman" w:eastAsia="仿宋_GB2312" w:cs="Times New Roman"/>
          <w:b w:val="0"/>
          <w:bCs w:val="0"/>
          <w:color w:val="auto"/>
          <w:kern w:val="0"/>
          <w:sz w:val="32"/>
          <w:szCs w:val="32"/>
          <w:shd w:val="clear" w:color="auto" w:fill="FFFFFF"/>
          <w:lang w:val="en-US" w:eastAsia="zh-CN" w:bidi="en-US"/>
        </w:rPr>
        <w:t>0632-</w:t>
      </w:r>
      <w:r>
        <w:rPr>
          <w:rFonts w:hint="default" w:ascii="Times New Roman" w:hAnsi="Times New Roman" w:eastAsia="仿宋_GB2312" w:cs="Times New Roman"/>
          <w:b w:val="0"/>
          <w:bCs w:val="0"/>
          <w:color w:val="auto"/>
          <w:kern w:val="0"/>
          <w:sz w:val="32"/>
          <w:szCs w:val="32"/>
          <w:lang w:val="en-US" w:eastAsia="zh-CN" w:bidi="en-US"/>
        </w:rPr>
        <w:t>3318217</w:t>
      </w:r>
      <w:r>
        <w:rPr>
          <w:rFonts w:hint="default" w:ascii="Times New Roman" w:hAnsi="Times New Roman" w:eastAsia="仿宋_GB2312" w:cs="Times New Roman"/>
          <w:b w:val="0"/>
          <w:bCs w:val="0"/>
          <w:color w:val="auto"/>
          <w:kern w:val="0"/>
          <w:sz w:val="32"/>
          <w:szCs w:val="32"/>
          <w:shd w:val="clear" w:color="auto" w:fill="FFFFFF"/>
          <w:lang w:eastAsia="zh-CN" w:bidi="en-US"/>
        </w:rPr>
        <w:t>，</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电子邮箱：wljscgl@zz.shandong.cn</w:t>
      </w:r>
      <w:r>
        <w:rPr>
          <w:rFonts w:hint="default" w:ascii="Times New Roman" w:hAnsi="Times New Roman" w:eastAsia="仿宋_GB2312" w:cs="Times New Roman"/>
          <w:b w:val="0"/>
          <w:bCs w:val="0"/>
          <w:color w:val="auto"/>
          <w:kern w:val="0"/>
          <w:sz w:val="32"/>
          <w:szCs w:val="32"/>
          <w:shd w:val="clear" w:color="auto" w:fill="FFFFFF"/>
          <w:lang w:eastAsia="zh-CN" w:bidi="en-US"/>
        </w:rPr>
        <w:t>） 。</w:t>
      </w:r>
    </w:p>
    <w:p w14:paraId="0C55337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kern w:val="0"/>
          <w:sz w:val="44"/>
          <w:szCs w:val="44"/>
          <w:lang w:eastAsia="zh-CN" w:bidi="en-US"/>
        </w:rPr>
      </w:pPr>
    </w:p>
    <w:p w14:paraId="6AF0806D">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eastAsia" w:eastAsia="仿宋_GB2312"/>
          <w:b/>
          <w:bCs/>
          <w:color w:val="auto"/>
          <w:sz w:val="32"/>
          <w:szCs w:val="32"/>
          <w:shd w:val="clear" w:color="auto" w:fill="FFFFFF"/>
          <w:lang w:val="en-US" w:eastAsia="zh-CN"/>
        </w:rPr>
      </w:pPr>
    </w:p>
    <w:p w14:paraId="05BD31C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eastAsia"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eastAsia="仿宋_GB2312" w:cs="Times New Roman"/>
          <w:b w:val="0"/>
          <w:bCs w:val="0"/>
          <w:color w:val="auto"/>
          <w:kern w:val="0"/>
          <w:sz w:val="32"/>
          <w:szCs w:val="32"/>
          <w:shd w:val="clear" w:color="auto" w:fill="FFFFFF"/>
          <w:lang w:val="en-US" w:eastAsia="zh-CN" w:bidi="en-US"/>
        </w:rPr>
        <w:t>市中区文化和旅游局</w:t>
      </w:r>
    </w:p>
    <w:p w14:paraId="6E6F7AF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eastAsia="仿宋_GB2312" w:cs="Times New Roman"/>
          <w:b w:val="0"/>
          <w:bCs w:val="0"/>
          <w:color w:val="auto"/>
          <w:kern w:val="0"/>
          <w:sz w:val="32"/>
          <w:szCs w:val="32"/>
          <w:shd w:val="clear" w:color="auto" w:fill="FFFFFF"/>
          <w:lang w:val="en-US" w:eastAsia="zh-CN" w:bidi="en-US"/>
        </w:rPr>
        <w:t>202</w:t>
      </w:r>
      <w:r>
        <w:rPr>
          <w:rFonts w:hint="eastAsia" w:eastAsia="仿宋_GB2312" w:cs="Times New Roman"/>
          <w:b w:val="0"/>
          <w:bCs w:val="0"/>
          <w:color w:val="auto"/>
          <w:kern w:val="0"/>
          <w:sz w:val="32"/>
          <w:szCs w:val="32"/>
          <w:shd w:val="clear" w:color="auto" w:fill="FFFFFF"/>
          <w:lang w:val="en-US" w:eastAsia="zh-CN" w:bidi="en-US"/>
        </w:rPr>
        <w:t>6</w:t>
      </w:r>
      <w:r>
        <w:rPr>
          <w:rFonts w:hint="eastAsia" w:ascii="Times New Roman" w:hAnsi="Times New Roman" w:eastAsia="仿宋_GB2312" w:cs="Times New Roman"/>
          <w:b w:val="0"/>
          <w:bCs w:val="0"/>
          <w:color w:val="auto"/>
          <w:kern w:val="0"/>
          <w:sz w:val="32"/>
          <w:szCs w:val="32"/>
          <w:shd w:val="clear" w:color="auto" w:fill="FFFFFF"/>
          <w:lang w:val="en-US" w:eastAsia="zh-CN" w:bidi="en-US"/>
        </w:rPr>
        <w:t>年1月7日</w:t>
      </w:r>
    </w:p>
    <w:p w14:paraId="752C626C">
      <w:pPr>
        <w:rPr>
          <w:rFonts w:hint="eastAsia" w:eastAsiaTheme="minorEastAsia"/>
          <w:color w:val="auto"/>
          <w:lang w:eastAsia="zh-CN"/>
        </w:rPr>
      </w:pPr>
    </w:p>
    <w:p w14:paraId="498450C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bookmarkStart w:id="5" w:name="_GoBack"/>
      <w:bookmarkEnd w:id="5"/>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BB42A5-DFA9-446E-8260-1EA7FDFBC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42A75A7-0FC0-4F8F-AA44-AF6DFD6E3FA2}"/>
  </w:font>
  <w:font w:name="仿宋_GB2312">
    <w:panose1 w:val="02010609030101010101"/>
    <w:charset w:val="86"/>
    <w:family w:val="modern"/>
    <w:pitch w:val="default"/>
    <w:sig w:usb0="00000001" w:usb1="080E0000" w:usb2="00000000" w:usb3="00000000" w:csb0="00040000" w:csb1="00000000"/>
    <w:embedRegular r:id="rId3" w:fontKey="{19C419B7-EC30-4A00-A896-959EBE29F82D}"/>
  </w:font>
  <w:font w:name="楷体_GB2312">
    <w:altName w:val="楷体"/>
    <w:panose1 w:val="02010609030101010101"/>
    <w:charset w:val="86"/>
    <w:family w:val="decorative"/>
    <w:pitch w:val="default"/>
    <w:sig w:usb0="00000000" w:usb1="00000000" w:usb2="00000000" w:usb3="00000000" w:csb0="00040000" w:csb1="00000000"/>
    <w:embedRegular r:id="rId4" w:fontKey="{E91C2903-9075-4450-8BA0-F52CBF728EB8}"/>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4B447"/>
    <w:multiLevelType w:val="singleLevel"/>
    <w:tmpl w:val="1CE4B44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2UzMDkyMTc0NzU2ZWVkN2JmZTdhMDQ3OWUzNDkifQ=="/>
  </w:docVars>
  <w:rsids>
    <w:rsidRoot w:val="00112B69"/>
    <w:rsid w:val="00081823"/>
    <w:rsid w:val="00112B69"/>
    <w:rsid w:val="005A70FF"/>
    <w:rsid w:val="00B03096"/>
    <w:rsid w:val="00F0539A"/>
    <w:rsid w:val="021D046B"/>
    <w:rsid w:val="025E0CC2"/>
    <w:rsid w:val="05C25634"/>
    <w:rsid w:val="08560D28"/>
    <w:rsid w:val="0A3E1141"/>
    <w:rsid w:val="0B8F2AB2"/>
    <w:rsid w:val="0BFE31F0"/>
    <w:rsid w:val="0D426B65"/>
    <w:rsid w:val="0DB7343A"/>
    <w:rsid w:val="101A475B"/>
    <w:rsid w:val="181435CE"/>
    <w:rsid w:val="185760AF"/>
    <w:rsid w:val="1AAF71B2"/>
    <w:rsid w:val="1C3143C8"/>
    <w:rsid w:val="1D276D79"/>
    <w:rsid w:val="1DC53412"/>
    <w:rsid w:val="1EB04B41"/>
    <w:rsid w:val="1FD24907"/>
    <w:rsid w:val="2007106B"/>
    <w:rsid w:val="21135D3D"/>
    <w:rsid w:val="2231783B"/>
    <w:rsid w:val="227F4F5F"/>
    <w:rsid w:val="24A61B48"/>
    <w:rsid w:val="24B65C7B"/>
    <w:rsid w:val="24BB2DC3"/>
    <w:rsid w:val="271F6DB2"/>
    <w:rsid w:val="28BE4FD8"/>
    <w:rsid w:val="2A366FA5"/>
    <w:rsid w:val="2A6E4A40"/>
    <w:rsid w:val="2B247393"/>
    <w:rsid w:val="2B7E7F7A"/>
    <w:rsid w:val="34C27E73"/>
    <w:rsid w:val="372B44B7"/>
    <w:rsid w:val="37DD4F2A"/>
    <w:rsid w:val="39D95CDA"/>
    <w:rsid w:val="3CA63654"/>
    <w:rsid w:val="4136448E"/>
    <w:rsid w:val="424E6C95"/>
    <w:rsid w:val="42962A0C"/>
    <w:rsid w:val="43677CBB"/>
    <w:rsid w:val="4A263FB9"/>
    <w:rsid w:val="4BE16E0F"/>
    <w:rsid w:val="4D6D55E6"/>
    <w:rsid w:val="4F1B009D"/>
    <w:rsid w:val="50FC287B"/>
    <w:rsid w:val="5A891C07"/>
    <w:rsid w:val="5AE6494C"/>
    <w:rsid w:val="5C1657E6"/>
    <w:rsid w:val="5C1E6BB8"/>
    <w:rsid w:val="5EA95810"/>
    <w:rsid w:val="60D31618"/>
    <w:rsid w:val="61A41BD6"/>
    <w:rsid w:val="62A02DE5"/>
    <w:rsid w:val="62DF0CAC"/>
    <w:rsid w:val="64490C92"/>
    <w:rsid w:val="66D42F38"/>
    <w:rsid w:val="6C6E475F"/>
    <w:rsid w:val="6EC52406"/>
    <w:rsid w:val="708B3388"/>
    <w:rsid w:val="716632E1"/>
    <w:rsid w:val="71742F46"/>
    <w:rsid w:val="72BB477E"/>
    <w:rsid w:val="743334DA"/>
    <w:rsid w:val="74913910"/>
    <w:rsid w:val="754C48A1"/>
    <w:rsid w:val="77266C71"/>
    <w:rsid w:val="79390A27"/>
    <w:rsid w:val="7A096EC0"/>
    <w:rsid w:val="7D726BF8"/>
    <w:rsid w:val="7F2D68BD"/>
    <w:rsid w:val="7F591F81"/>
    <w:rsid w:val="7FF1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pPr>
    <w:rPr>
      <w:rFonts w:ascii="宋体" w:hAnsi="宋体" w:cs="宋体"/>
    </w:rPr>
  </w:style>
  <w:style w:type="character" w:styleId="7">
    <w:name w:val="Hyperlink"/>
    <w:basedOn w:val="6"/>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c877da85-80b4-4fc0-abfb-2ab5a8674751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61839CBE</paraID>
      <start>18</start>
      <end>21</end>
      <status>unmodified</status>
      <modifiedWord/>
      <trackRevisions>false</trackRevisions>
    </reviewItem>
    <reviewItem>
      <errorID>b00b23ed-05fd-4e30-abfb-2b1034c444ba</errorID>
      <errorWord>《</errorWord>
      <group>L1_Punc</group>
      <groupName>标点问题</groupName>
      <ability>L2_Punc</ability>
      <abilityName>标点符号检查</abilityName>
      <candidateList/>
      <explain>同一形式括号套用。</explain>
      <paraID>61839CBE</paraID>
      <start>43</start>
      <end>44</end>
      <status>unmodified</status>
      <modifiedWord/>
      <trackRevisions>false</trackRevisions>
    </reviewItem>
    <reviewItem>
      <errorID>0651a701-c70f-4837-904f-e4d2992f2ec1</errorID>
      <errorWord>》</errorWord>
      <group>L1_Punc</group>
      <groupName>标点问题</groupName>
      <ability>L2_Punc</ability>
      <abilityName>标点符号检查</abilityName>
      <candidateList/>
      <explain>同一形式括号套用。</explain>
      <paraID>61839CBE</paraID>
      <start>65</start>
      <end>66</end>
      <status>unmodified</status>
      <modifiedWord/>
      <trackRevisions>false</trackRevisions>
    </reviewItem>
    <reviewItem>
      <errorID>b925e971-0783-44ae-888f-e5866c8d2435</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2a64f9cb-4800-4f1c-89b8-8aa765168062</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de279-93a2-44a9-81e8-90541f8ba44d}">
  <ds:schemaRefs/>
</ds:datastoreItem>
</file>

<file path=docProps/app.xml><?xml version="1.0" encoding="utf-8"?>
<Properties xmlns="http://schemas.openxmlformats.org/officeDocument/2006/extended-properties" xmlns:vt="http://schemas.openxmlformats.org/officeDocument/2006/docPropsVTypes">
  <Template>Normal</Template>
  <Pages>8</Pages>
  <Words>3496</Words>
  <Characters>3686</Characters>
  <Lines>53</Lines>
  <Paragraphs>15</Paragraphs>
  <TotalTime>2</TotalTime>
  <ScaleCrop>false</ScaleCrop>
  <LinksUpToDate>false</LinksUpToDate>
  <CharactersWithSpaces>3703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D2D0B8068AE1419F9263518355843366_13</vt:lpwstr>
  </property>
</Properties>
</file>