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366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bCs/>
          <w:color w:val="auto"/>
          <w:sz w:val="44"/>
          <w:szCs w:val="44"/>
          <w:lang w:val="en-US" w:eastAsia="zh-CN"/>
        </w:rPr>
      </w:pPr>
    </w:p>
    <w:p w14:paraId="64BD8F6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bCs/>
          <w:color w:val="auto"/>
          <w:sz w:val="44"/>
          <w:szCs w:val="44"/>
          <w:lang w:val="en-US" w:eastAsia="zh-CN"/>
        </w:rPr>
      </w:pPr>
      <w:r>
        <w:rPr>
          <w:rFonts w:hint="eastAsia" w:eastAsia="方正小标宋简体" w:cs="Times New Roman"/>
          <w:b/>
          <w:bCs/>
          <w:color w:val="auto"/>
          <w:sz w:val="44"/>
          <w:szCs w:val="44"/>
          <w:lang w:val="en-US" w:eastAsia="zh-CN"/>
        </w:rPr>
        <w:t>市中区应急管理局</w:t>
      </w:r>
    </w:p>
    <w:p w14:paraId="3BC56B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1E0099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FDCE04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国务院办公厅政府信息与政务公开办公室关于印发</w:t>
      </w:r>
      <w:r>
        <w:rPr>
          <w:rFonts w:hint="eastAsia"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eastAsia="zh-CN"/>
        </w:rPr>
        <w:t>中华人民共和国政府信息公开工作年度报告格式</w:t>
      </w:r>
      <w:r>
        <w:rPr>
          <w:rFonts w:hint="eastAsia"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eastAsia="zh-CN"/>
        </w:rPr>
        <w:t>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ascii="Times New Roman" w:hAnsi="Times New Roman" w:eastAsia="仿宋_GB2312" w:cs="Times New Roman"/>
          <w:color w:val="auto"/>
          <w:sz w:val="32"/>
          <w:szCs w:val="32"/>
          <w:shd w:val="clear" w:color="auto" w:fill="FFFFFF"/>
          <w:lang w:val="en-US" w:eastAsia="zh-CN"/>
        </w:rPr>
        <w:t>市中区应急管理局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shd w:val="clear" w:color="auto" w:fill="FFFFFF"/>
          <w:lang w:val="en-US" w:eastAsia="zh-CN"/>
        </w:rPr>
        <w:t>文化中路22</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shd w:val="clear" w:color="auto" w:fill="FFFFFF"/>
          <w:lang w:val="en-US" w:eastAsia="zh-CN"/>
        </w:rPr>
        <w:t>3314889</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default" w:ascii="Times New Roman" w:hAnsi="Times New Roman" w:eastAsia="仿宋_GB2312" w:cs="Times New Roman"/>
          <w:color w:val="auto"/>
          <w:sz w:val="32"/>
          <w:szCs w:val="32"/>
          <w:shd w:val="clear" w:color="auto" w:fill="FFFFFF"/>
          <w:lang w:val="en-US" w:eastAsia="zh-CN"/>
        </w:rPr>
        <w:t>zzszyjj@zz.shandong.cn</w:t>
      </w:r>
      <w:r>
        <w:rPr>
          <w:rFonts w:hint="default" w:ascii="Times New Roman" w:hAnsi="Times New Roman" w:eastAsia="仿宋_GB2312" w:cs="Times New Roman"/>
          <w:color w:val="auto"/>
          <w:sz w:val="32"/>
          <w:szCs w:val="32"/>
          <w:shd w:val="clear" w:color="auto" w:fill="FFFFFF"/>
          <w:lang w:eastAsia="zh-CN"/>
        </w:rPr>
        <w:t>） 。</w:t>
      </w:r>
    </w:p>
    <w:p w14:paraId="001ABF3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3EC3CB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w:t>
      </w:r>
      <w:r>
        <w:rPr>
          <w:rFonts w:hint="eastAsia" w:eastAsia="仿宋_GB2312" w:cs="Times New Roman"/>
          <w:bCs/>
          <w:color w:val="auto"/>
          <w:sz w:val="32"/>
          <w:szCs w:val="32"/>
          <w:lang w:val="en-US" w:eastAsia="zh-CN"/>
        </w:rPr>
        <w:t>市中区应急管理局</w:t>
      </w:r>
      <w:r>
        <w:rPr>
          <w:rFonts w:hint="default" w:ascii="Times New Roman" w:hAnsi="Times New Roman" w:eastAsia="仿宋_GB2312" w:cs="Times New Roman"/>
          <w:bCs/>
          <w:color w:val="auto"/>
          <w:sz w:val="32"/>
          <w:szCs w:val="32"/>
          <w:lang w:val="en-US" w:eastAsia="zh-CN"/>
        </w:rPr>
        <w:t>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0CBC3C1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1972D787">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2025年，我局主动公开信息</w:t>
      </w:r>
      <w:r>
        <w:rPr>
          <w:rFonts w:hint="eastAsia" w:ascii="Times New Roman" w:hAnsi="Times New Roman" w:eastAsia="仿宋_GB2312" w:cs="Times New Roman"/>
          <w:bCs/>
          <w:color w:val="auto"/>
          <w:sz w:val="32"/>
          <w:szCs w:val="32"/>
          <w:lang w:val="en-US" w:eastAsia="zh-CN"/>
        </w:rPr>
        <w:t>289</w:t>
      </w:r>
      <w:r>
        <w:rPr>
          <w:rFonts w:hint="default" w:ascii="Times New Roman" w:hAnsi="Times New Roman" w:eastAsia="仿宋_GB2312" w:cs="Times New Roman"/>
          <w:bCs/>
          <w:color w:val="auto"/>
          <w:sz w:val="32"/>
          <w:szCs w:val="32"/>
          <w:lang w:val="en-US" w:eastAsia="zh-CN"/>
        </w:rPr>
        <w:t>条，其中在区政府门户网站公开</w:t>
      </w:r>
      <w:r>
        <w:rPr>
          <w:rFonts w:hint="eastAsia" w:ascii="Times New Roman" w:hAnsi="Times New Roman" w:eastAsia="仿宋_GB2312" w:cs="Times New Roman"/>
          <w:bCs/>
          <w:color w:val="auto"/>
          <w:sz w:val="32"/>
          <w:szCs w:val="32"/>
          <w:lang w:val="en-US" w:eastAsia="zh-CN"/>
        </w:rPr>
        <w:t>131</w:t>
      </w:r>
      <w:r>
        <w:rPr>
          <w:rFonts w:hint="default" w:ascii="Times New Roman" w:hAnsi="Times New Roman" w:eastAsia="仿宋_GB2312" w:cs="Times New Roman"/>
          <w:bCs/>
          <w:color w:val="auto"/>
          <w:sz w:val="32"/>
          <w:szCs w:val="32"/>
          <w:lang w:val="en-US" w:eastAsia="zh-CN"/>
        </w:rPr>
        <w:t>条，利用微信、微博等形式公开</w:t>
      </w:r>
      <w:r>
        <w:rPr>
          <w:rFonts w:hint="eastAsia" w:ascii="Times New Roman" w:hAnsi="Times New Roman" w:eastAsia="仿宋_GB2312" w:cs="Times New Roman"/>
          <w:bCs/>
          <w:color w:val="auto"/>
          <w:sz w:val="32"/>
          <w:szCs w:val="32"/>
          <w:lang w:val="en-US" w:eastAsia="zh-CN"/>
        </w:rPr>
        <w:t>158</w:t>
      </w:r>
      <w:r>
        <w:rPr>
          <w:rFonts w:hint="default" w:ascii="Times New Roman" w:hAnsi="Times New Roman" w:eastAsia="仿宋_GB2312" w:cs="Times New Roman"/>
          <w:bCs/>
          <w:color w:val="auto"/>
          <w:sz w:val="32"/>
          <w:szCs w:val="32"/>
          <w:lang w:val="en-US" w:eastAsia="zh-CN"/>
        </w:rPr>
        <w:t>条，</w:t>
      </w:r>
      <w:r>
        <w:rPr>
          <w:rFonts w:hint="eastAsia" w:ascii="Times New Roman" w:hAnsi="Times New Roman" w:eastAsia="仿宋_GB2312" w:cs="Times New Roman"/>
          <w:bCs/>
          <w:color w:val="auto"/>
          <w:sz w:val="32"/>
          <w:szCs w:val="32"/>
          <w:lang w:val="en-US" w:eastAsia="zh-CN"/>
        </w:rPr>
        <w:t>未通过</w:t>
      </w:r>
      <w:r>
        <w:rPr>
          <w:rFonts w:hint="default" w:ascii="Times New Roman" w:hAnsi="Times New Roman" w:eastAsia="仿宋_GB2312" w:cs="Times New Roman"/>
          <w:bCs/>
          <w:color w:val="auto"/>
          <w:sz w:val="32"/>
          <w:szCs w:val="32"/>
          <w:lang w:val="en-US" w:eastAsia="zh-CN"/>
        </w:rPr>
        <w:t>其他渠道公开。</w:t>
      </w:r>
    </w:p>
    <w:p w14:paraId="1E4183C9">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drawing>
          <wp:inline distT="0" distB="0" distL="114300" distR="114300">
            <wp:extent cx="5461000" cy="3318510"/>
            <wp:effectExtent l="0" t="0" r="6350" b="15240"/>
            <wp:docPr id="1" name="图片 1" descr="bb7c7fbf-10b4-4947-a828-c5695e361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7c7fbf-10b4-4947-a828-c5695e361e30"/>
                    <pic:cNvPicPr>
                      <a:picLocks noChangeAspect="1"/>
                    </pic:cNvPicPr>
                  </pic:nvPicPr>
                  <pic:blipFill>
                    <a:blip r:embed="rId6"/>
                    <a:stretch>
                      <a:fillRect/>
                    </a:stretch>
                  </pic:blipFill>
                  <pic:spPr>
                    <a:xfrm>
                      <a:off x="0" y="0"/>
                      <a:ext cx="5461000" cy="3318510"/>
                    </a:xfrm>
                    <a:prstGeom prst="rect">
                      <a:avLst/>
                    </a:prstGeom>
                  </pic:spPr>
                </pic:pic>
              </a:graphicData>
            </a:graphic>
          </wp:inline>
        </w:drawing>
      </w:r>
    </w:p>
    <w:p w14:paraId="56C9EF29">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仿宋_GB2312" w:cs="Times New Roman"/>
          <w:bCs/>
          <w:color w:val="auto"/>
          <w:sz w:val="32"/>
          <w:szCs w:val="32"/>
          <w:lang w:val="en-US" w:eastAsia="zh-CN"/>
        </w:rPr>
      </w:pPr>
    </w:p>
    <w:p w14:paraId="3A239953">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drawing>
          <wp:inline distT="0" distB="0" distL="114300" distR="114300">
            <wp:extent cx="3505200" cy="4854575"/>
            <wp:effectExtent l="0" t="0" r="0" b="3175"/>
            <wp:docPr id="2" name="图片 2" descr="31728252-fc92-47b1-8f78-7c434d6ffe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728252-fc92-47b1-8f78-7c434d6ffe1f"/>
                    <pic:cNvPicPr>
                      <a:picLocks noChangeAspect="1"/>
                    </pic:cNvPicPr>
                  </pic:nvPicPr>
                  <pic:blipFill>
                    <a:blip r:embed="rId7"/>
                    <a:stretch>
                      <a:fillRect/>
                    </a:stretch>
                  </pic:blipFill>
                  <pic:spPr>
                    <a:xfrm>
                      <a:off x="0" y="0"/>
                      <a:ext cx="3505200" cy="4854575"/>
                    </a:xfrm>
                    <a:prstGeom prst="rect">
                      <a:avLst/>
                    </a:prstGeom>
                  </pic:spPr>
                </pic:pic>
              </a:graphicData>
            </a:graphic>
          </wp:inline>
        </w:drawing>
      </w:r>
    </w:p>
    <w:p w14:paraId="4772F99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657F74E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做好依申请公开工作，依法保障民众的知情权、参与权、表达权、监督权</w:t>
      </w: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年共受理政府信息公开申请</w:t>
      </w:r>
      <w:r>
        <w:rPr>
          <w:rFonts w:hint="eastAsia"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lang w:eastAsia="zh-CN"/>
        </w:rPr>
        <w:t>件，</w:t>
      </w:r>
      <w:r>
        <w:rPr>
          <w:rFonts w:hint="default" w:ascii="Times New Roman" w:hAnsi="Times New Roman" w:eastAsia="仿宋_GB2312" w:cs="Times New Roman"/>
          <w:color w:val="auto"/>
          <w:sz w:val="32"/>
          <w:szCs w:val="32"/>
          <w:highlight w:val="none"/>
          <w:shd w:val="clear" w:color="auto" w:fill="FFFFFF"/>
          <w:lang w:val="en-US" w:eastAsia="zh-CN"/>
        </w:rPr>
        <w:t>涉及</w:t>
      </w:r>
      <w:r>
        <w:rPr>
          <w:rFonts w:hint="eastAsia" w:eastAsia="仿宋_GB2312" w:cs="Times New Roman"/>
          <w:color w:val="auto"/>
          <w:sz w:val="32"/>
          <w:szCs w:val="32"/>
          <w:highlight w:val="none"/>
          <w:shd w:val="clear" w:color="auto" w:fill="FFFFFF"/>
          <w:lang w:val="en-US" w:eastAsia="zh-CN"/>
        </w:rPr>
        <w:t>安全生产及消防安全</w:t>
      </w:r>
      <w:r>
        <w:rPr>
          <w:rFonts w:hint="default" w:ascii="Times New Roman" w:hAnsi="Times New Roman" w:eastAsia="仿宋_GB2312" w:cs="Times New Roman"/>
          <w:color w:val="auto"/>
          <w:sz w:val="32"/>
          <w:szCs w:val="32"/>
          <w:highlight w:val="none"/>
          <w:shd w:val="clear" w:color="auto" w:fill="FFFFFF"/>
          <w:lang w:val="en-US" w:eastAsia="zh-CN"/>
        </w:rPr>
        <w:t>领域。</w:t>
      </w:r>
      <w:r>
        <w:rPr>
          <w:rFonts w:hint="default" w:ascii="Times New Roman" w:hAnsi="Times New Roman" w:eastAsia="仿宋_GB2312" w:cs="Times New Roman"/>
          <w:color w:val="auto"/>
          <w:sz w:val="32"/>
          <w:szCs w:val="32"/>
          <w:highlight w:val="none"/>
          <w:shd w:val="clear" w:color="auto" w:fill="FFFFFF"/>
          <w:lang w:eastAsia="zh-CN"/>
        </w:rPr>
        <w:t>其中不予处理</w:t>
      </w:r>
      <w:r>
        <w:rPr>
          <w:rFonts w:hint="eastAsia"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lang w:eastAsia="zh-CN"/>
        </w:rPr>
        <w:t>件。</w:t>
      </w:r>
    </w:p>
    <w:p w14:paraId="5AFBE73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本年度依申请公开政府信息未收取任何费用。</w:t>
      </w:r>
    </w:p>
    <w:p w14:paraId="6347E20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shd w:val="clear" w:color="auto" w:fill="FFFFFF"/>
          <w:lang w:eastAsia="zh-CN"/>
        </w:rPr>
        <w:t>因政府信息公开被申请行政复议</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件，因公民、法人和其他组织认为行政机关政府信息公开工作具体行政行为侵犯其合法权益，提起行政诉讼</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p>
    <w:p w14:paraId="5974233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667CC45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auto"/>
          <w:sz w:val="32"/>
          <w:szCs w:val="32"/>
          <w:shd w:val="clear" w:color="auto" w:fill="FFFFFF"/>
          <w:lang w:eastAsia="zh-CN"/>
        </w:rPr>
        <w:t>一是完善信息公开管理流程。</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建立政府信息公开工作全流程管理机制，安排专人负责信息公开传送。</w:t>
      </w:r>
    </w:p>
    <w:p w14:paraId="7B63FFD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394565E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37F7FDF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6D68500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eastAsia"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07F9573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5BA5737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val="en-US" w:eastAsia="zh-CN"/>
        </w:rPr>
        <w:t>持续强化信息公开工作组织领导，根据人员变动及时调整补充政府信息公开工作人员力量。严格执行保密审查制度，防范风险。坚持</w:t>
      </w:r>
      <w:r>
        <w:rPr>
          <w:rFonts w:hint="eastAsia"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先审核后公开</w:t>
      </w:r>
      <w:r>
        <w:rPr>
          <w:rFonts w:hint="eastAsia"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一事一审</w:t>
      </w:r>
      <w:r>
        <w:rPr>
          <w:rFonts w:hint="eastAsia"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原则，建立健全经办人员、</w:t>
      </w:r>
      <w:r>
        <w:rPr>
          <w:rFonts w:hint="eastAsia" w:ascii="Times New Roman" w:hAnsi="Times New Roman" w:eastAsia="仿宋_GB2312" w:cs="Times New Roman"/>
          <w:color w:val="auto"/>
          <w:sz w:val="32"/>
          <w:szCs w:val="32"/>
          <w:shd w:val="clear" w:color="auto" w:fill="FFFFFF"/>
          <w:lang w:val="en-US" w:eastAsia="zh-CN"/>
        </w:rPr>
        <w:t>科室</w:t>
      </w:r>
      <w:r>
        <w:rPr>
          <w:rFonts w:hint="default" w:ascii="Times New Roman" w:hAnsi="Times New Roman" w:eastAsia="仿宋_GB2312" w:cs="Times New Roman"/>
          <w:color w:val="auto"/>
          <w:sz w:val="32"/>
          <w:szCs w:val="32"/>
          <w:shd w:val="clear" w:color="auto" w:fill="FFFFFF"/>
          <w:lang w:val="en-US" w:eastAsia="zh-CN"/>
        </w:rPr>
        <w:t>负责人、分管领导</w:t>
      </w:r>
      <w:r>
        <w:rPr>
          <w:rFonts w:hint="eastAsia" w:ascii="Times New Roman" w:hAnsi="Times New Roman" w:eastAsia="仿宋_GB2312" w:cs="Times New Roman"/>
          <w:color w:val="auto"/>
          <w:sz w:val="32"/>
          <w:szCs w:val="32"/>
          <w:shd w:val="clear" w:color="auto" w:fill="FFFFFF"/>
          <w:lang w:val="en-US" w:eastAsia="zh-CN"/>
        </w:rPr>
        <w:t>、主要领导</w:t>
      </w:r>
      <w:r>
        <w:rPr>
          <w:rFonts w:hint="default" w:ascii="Times New Roman" w:hAnsi="Times New Roman" w:eastAsia="仿宋_GB2312" w:cs="Times New Roman"/>
          <w:color w:val="auto"/>
          <w:sz w:val="32"/>
          <w:szCs w:val="32"/>
          <w:shd w:val="clear" w:color="auto" w:fill="FFFFFF"/>
          <w:lang w:val="en-US" w:eastAsia="zh-CN"/>
        </w:rPr>
        <w:t>审核责任制</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同步优化信息发布审查流程，健全闭环管理机制。</w:t>
      </w:r>
    </w:p>
    <w:p w14:paraId="7DEC7AD1">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19282D7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F3CAC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5096B9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4F9BFB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D40AA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65C654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2CD81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36FB51E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305DB9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4C9C32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20450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045BE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52C4A52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D29C3C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2E783D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90C8F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E7525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66F0BB9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E5EFE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7C2AA19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EBD9AE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654B60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0641D0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600D0B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12055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90</w:t>
            </w:r>
          </w:p>
        </w:tc>
      </w:tr>
      <w:tr w14:paraId="3EFD328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5E298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7A1BF6E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5FE94E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E46267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496D56F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65A260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A67FFD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31</w:t>
            </w:r>
          </w:p>
        </w:tc>
      </w:tr>
      <w:tr w14:paraId="17F1988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AEDF6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6A0FD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1</w:t>
            </w:r>
          </w:p>
        </w:tc>
      </w:tr>
      <w:tr w14:paraId="0B2534A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B8BA8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48FA02B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00D969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7E74D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110E7CE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07C6FF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2AD1B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bl>
    <w:p w14:paraId="291BDA3A">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lang w:val="en-US" w:eastAsia="zh-CN"/>
        </w:rPr>
      </w:pPr>
    </w:p>
    <w:p w14:paraId="3769D275">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89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8"/>
        <w:gridCol w:w="1064"/>
        <w:gridCol w:w="2355"/>
        <w:gridCol w:w="543"/>
        <w:gridCol w:w="699"/>
        <w:gridCol w:w="699"/>
        <w:gridCol w:w="877"/>
        <w:gridCol w:w="701"/>
        <w:gridCol w:w="484"/>
        <w:gridCol w:w="486"/>
      </w:tblGrid>
      <w:tr w14:paraId="1EF7F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restart"/>
            <w:shd w:val="clear" w:color="auto" w:fill="auto"/>
            <w:tcMar>
              <w:left w:w="108" w:type="dxa"/>
              <w:right w:w="108" w:type="dxa"/>
            </w:tcMar>
            <w:vAlign w:val="center"/>
          </w:tcPr>
          <w:p w14:paraId="7C7E2FE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486" w:type="dxa"/>
            <w:gridSpan w:val="7"/>
            <w:shd w:val="clear" w:color="auto" w:fill="auto"/>
            <w:tcMar>
              <w:left w:w="108" w:type="dxa"/>
              <w:right w:w="108" w:type="dxa"/>
            </w:tcMar>
            <w:vAlign w:val="center"/>
          </w:tcPr>
          <w:p w14:paraId="7358C39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25AE2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1DF6110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543" w:type="dxa"/>
            <w:vMerge w:val="restart"/>
            <w:shd w:val="clear" w:color="auto" w:fill="auto"/>
            <w:tcMar>
              <w:left w:w="108" w:type="dxa"/>
              <w:right w:w="108" w:type="dxa"/>
            </w:tcMar>
            <w:vAlign w:val="center"/>
          </w:tcPr>
          <w:p w14:paraId="47F2071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4" w:type="dxa"/>
            <w:gridSpan w:val="5"/>
            <w:shd w:val="clear" w:color="auto" w:fill="auto"/>
            <w:tcMar>
              <w:left w:w="108" w:type="dxa"/>
              <w:right w:w="108" w:type="dxa"/>
            </w:tcMar>
            <w:vAlign w:val="center"/>
          </w:tcPr>
          <w:p w14:paraId="45489D1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86" w:type="dxa"/>
            <w:vMerge w:val="restart"/>
            <w:shd w:val="clear" w:color="auto" w:fill="auto"/>
            <w:tcMar>
              <w:left w:w="108" w:type="dxa"/>
              <w:right w:w="108" w:type="dxa"/>
            </w:tcMar>
            <w:vAlign w:val="center"/>
          </w:tcPr>
          <w:p w14:paraId="5CF0402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4E46F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49EBAA6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543" w:type="dxa"/>
            <w:vMerge w:val="continue"/>
            <w:shd w:val="clear" w:color="auto" w:fill="auto"/>
            <w:tcMar>
              <w:left w:w="108" w:type="dxa"/>
              <w:right w:w="108" w:type="dxa"/>
            </w:tcMar>
            <w:vAlign w:val="center"/>
          </w:tcPr>
          <w:p w14:paraId="442A585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9" w:type="dxa"/>
            <w:shd w:val="clear" w:color="auto" w:fill="auto"/>
            <w:tcMar>
              <w:left w:w="108" w:type="dxa"/>
              <w:right w:w="108" w:type="dxa"/>
            </w:tcMar>
            <w:vAlign w:val="center"/>
          </w:tcPr>
          <w:p w14:paraId="74007CD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9" w:type="dxa"/>
            <w:shd w:val="clear" w:color="auto" w:fill="auto"/>
            <w:tcMar>
              <w:left w:w="108" w:type="dxa"/>
              <w:right w:w="108" w:type="dxa"/>
            </w:tcMar>
            <w:vAlign w:val="center"/>
          </w:tcPr>
          <w:p w14:paraId="2CB175C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77" w:type="dxa"/>
            <w:shd w:val="clear" w:color="auto" w:fill="auto"/>
            <w:tcMar>
              <w:left w:w="108" w:type="dxa"/>
              <w:right w:w="108" w:type="dxa"/>
            </w:tcMar>
            <w:vAlign w:val="center"/>
          </w:tcPr>
          <w:p w14:paraId="0C37D50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01" w:type="dxa"/>
            <w:shd w:val="clear" w:color="auto" w:fill="auto"/>
            <w:tcMar>
              <w:left w:w="108" w:type="dxa"/>
              <w:right w:w="108" w:type="dxa"/>
            </w:tcMar>
            <w:vAlign w:val="center"/>
          </w:tcPr>
          <w:p w14:paraId="5FAFA60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4" w:type="dxa"/>
            <w:shd w:val="clear" w:color="auto" w:fill="auto"/>
            <w:tcMar>
              <w:left w:w="108" w:type="dxa"/>
              <w:right w:w="108" w:type="dxa"/>
            </w:tcMar>
            <w:vAlign w:val="center"/>
          </w:tcPr>
          <w:p w14:paraId="1A03A7C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86" w:type="dxa"/>
            <w:vMerge w:val="continue"/>
            <w:shd w:val="clear" w:color="auto" w:fill="auto"/>
            <w:tcMar>
              <w:left w:w="108" w:type="dxa"/>
              <w:right w:w="108" w:type="dxa"/>
            </w:tcMar>
            <w:vAlign w:val="center"/>
          </w:tcPr>
          <w:p w14:paraId="451D3BF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43629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0CC87F6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543" w:type="dxa"/>
            <w:shd w:val="clear" w:color="auto" w:fill="auto"/>
            <w:tcMar>
              <w:left w:w="108" w:type="dxa"/>
              <w:right w:w="108" w:type="dxa"/>
            </w:tcMar>
            <w:vAlign w:val="center"/>
          </w:tcPr>
          <w:p w14:paraId="69B1DD9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c>
          <w:tcPr>
            <w:tcW w:w="699" w:type="dxa"/>
            <w:shd w:val="clear" w:color="auto" w:fill="auto"/>
            <w:tcMar>
              <w:left w:w="108" w:type="dxa"/>
              <w:right w:w="108" w:type="dxa"/>
            </w:tcMar>
            <w:vAlign w:val="center"/>
          </w:tcPr>
          <w:p w14:paraId="5DFE071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E7594F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7FFA6EC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8BCAD8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CD4E51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E9A8B7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r>
      <w:tr w14:paraId="47487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0BCAB52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543" w:type="dxa"/>
            <w:shd w:val="clear" w:color="auto" w:fill="auto"/>
            <w:tcMar>
              <w:left w:w="108" w:type="dxa"/>
              <w:right w:w="108" w:type="dxa"/>
            </w:tcMar>
            <w:vAlign w:val="center"/>
          </w:tcPr>
          <w:p w14:paraId="45B2901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F76FEC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218419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29B36B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A1265F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5261B49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507E4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948B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restart"/>
            <w:shd w:val="clear" w:color="auto" w:fill="auto"/>
            <w:tcMar>
              <w:left w:w="108" w:type="dxa"/>
              <w:right w:w="108" w:type="dxa"/>
            </w:tcMar>
            <w:vAlign w:val="center"/>
          </w:tcPr>
          <w:p w14:paraId="69BC40B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355" w:type="dxa"/>
            <w:gridSpan w:val="2"/>
            <w:shd w:val="clear" w:color="auto" w:fill="auto"/>
            <w:tcMar>
              <w:left w:w="108" w:type="dxa"/>
              <w:right w:w="108" w:type="dxa"/>
            </w:tcMar>
            <w:vAlign w:val="center"/>
          </w:tcPr>
          <w:p w14:paraId="53A2FF4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543" w:type="dxa"/>
            <w:shd w:val="clear" w:color="auto" w:fill="auto"/>
            <w:tcMar>
              <w:left w:w="108" w:type="dxa"/>
              <w:right w:w="108" w:type="dxa"/>
            </w:tcMar>
            <w:vAlign w:val="center"/>
          </w:tcPr>
          <w:p w14:paraId="3F0D83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21B267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09FA4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FFB15C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4007905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E14FF8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349B3D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3E7C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BA5A7F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gridSpan w:val="2"/>
            <w:shd w:val="clear" w:color="auto" w:fill="auto"/>
            <w:tcMar>
              <w:left w:w="108" w:type="dxa"/>
              <w:right w:w="108" w:type="dxa"/>
            </w:tcMar>
            <w:vAlign w:val="center"/>
          </w:tcPr>
          <w:p w14:paraId="738BA6F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543" w:type="dxa"/>
            <w:shd w:val="clear" w:color="auto" w:fill="auto"/>
            <w:tcMar>
              <w:left w:w="108" w:type="dxa"/>
              <w:right w:w="108" w:type="dxa"/>
            </w:tcMar>
            <w:vAlign w:val="center"/>
          </w:tcPr>
          <w:p w14:paraId="1C1350C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B56058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DAFF63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8FC13B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538567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C43719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9A8B8C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378B0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4EDD80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704FB04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355" w:type="dxa"/>
            <w:shd w:val="clear" w:color="auto" w:fill="auto"/>
            <w:tcMar>
              <w:left w:w="108" w:type="dxa"/>
              <w:right w:w="108" w:type="dxa"/>
            </w:tcMar>
            <w:vAlign w:val="center"/>
          </w:tcPr>
          <w:p w14:paraId="0C59E96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543" w:type="dxa"/>
            <w:shd w:val="clear" w:color="auto" w:fill="auto"/>
            <w:tcMar>
              <w:left w:w="108" w:type="dxa"/>
              <w:right w:w="108" w:type="dxa"/>
            </w:tcMar>
            <w:vAlign w:val="center"/>
          </w:tcPr>
          <w:p w14:paraId="4E569A0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D4AF44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A4A98B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307069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4FD1C5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A5FC7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B64194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96E6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8D3D6C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490A3F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662C0D0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543" w:type="dxa"/>
            <w:shd w:val="clear" w:color="auto" w:fill="auto"/>
            <w:tcMar>
              <w:left w:w="108" w:type="dxa"/>
              <w:right w:w="108" w:type="dxa"/>
            </w:tcMar>
            <w:vAlign w:val="center"/>
          </w:tcPr>
          <w:p w14:paraId="10A3D10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4ACC3A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3C8616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33BADC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79FEF09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78F44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C4CBB4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5FC1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9D08CB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695DA29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6FC308E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543" w:type="dxa"/>
            <w:shd w:val="clear" w:color="auto" w:fill="auto"/>
            <w:tcMar>
              <w:left w:w="108" w:type="dxa"/>
              <w:right w:w="108" w:type="dxa"/>
            </w:tcMar>
            <w:vAlign w:val="center"/>
          </w:tcPr>
          <w:p w14:paraId="268A0D6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CFF771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40F7CE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C03568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273F10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0DF9BC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64D796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23A9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B09434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6863162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488FA2C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543" w:type="dxa"/>
            <w:shd w:val="clear" w:color="auto" w:fill="auto"/>
            <w:tcMar>
              <w:left w:w="108" w:type="dxa"/>
              <w:right w:w="108" w:type="dxa"/>
            </w:tcMar>
            <w:vAlign w:val="center"/>
          </w:tcPr>
          <w:p w14:paraId="62F0925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97562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68D6D7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140DDD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0A7BC7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8728FA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0D80A0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290E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1F6B24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0788602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54A31DC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543" w:type="dxa"/>
            <w:shd w:val="clear" w:color="auto" w:fill="auto"/>
            <w:tcMar>
              <w:left w:w="108" w:type="dxa"/>
              <w:right w:w="108" w:type="dxa"/>
            </w:tcMar>
            <w:vAlign w:val="center"/>
          </w:tcPr>
          <w:p w14:paraId="01C9A75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12AA94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59BA48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75C5189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4FC9B0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7BA29C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8B9FE8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47F0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142565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329BC3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1F71257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543" w:type="dxa"/>
            <w:shd w:val="clear" w:color="auto" w:fill="auto"/>
            <w:tcMar>
              <w:left w:w="108" w:type="dxa"/>
              <w:right w:w="108" w:type="dxa"/>
            </w:tcMar>
            <w:vAlign w:val="center"/>
          </w:tcPr>
          <w:p w14:paraId="31D1E2E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DA7646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1A9350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7DB9E7B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FD4EF8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5AD41C6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9E419D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FBC2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FB9AF6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120C385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46C27A3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543" w:type="dxa"/>
            <w:shd w:val="clear" w:color="auto" w:fill="auto"/>
            <w:tcMar>
              <w:left w:w="108" w:type="dxa"/>
              <w:right w:w="108" w:type="dxa"/>
            </w:tcMar>
            <w:vAlign w:val="center"/>
          </w:tcPr>
          <w:p w14:paraId="78D6C97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32ED25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E4E638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7AA597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F1FB29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AA0E07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201F57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75AA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E1C17A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626229E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164D5AD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543" w:type="dxa"/>
            <w:shd w:val="clear" w:color="auto" w:fill="auto"/>
            <w:tcMar>
              <w:left w:w="108" w:type="dxa"/>
              <w:right w:w="108" w:type="dxa"/>
            </w:tcMar>
            <w:vAlign w:val="center"/>
          </w:tcPr>
          <w:p w14:paraId="4B5C01B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F31454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A0E8BD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AFE35D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C6577E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AB9DCC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5A5E60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50A6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8AB295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3212029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355" w:type="dxa"/>
            <w:shd w:val="clear" w:color="auto" w:fill="auto"/>
            <w:tcMar>
              <w:left w:w="108" w:type="dxa"/>
              <w:right w:w="108" w:type="dxa"/>
            </w:tcMar>
            <w:vAlign w:val="center"/>
          </w:tcPr>
          <w:p w14:paraId="6D0DAC5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543" w:type="dxa"/>
            <w:shd w:val="clear" w:color="auto" w:fill="auto"/>
            <w:tcMar>
              <w:left w:w="108" w:type="dxa"/>
              <w:right w:w="108" w:type="dxa"/>
            </w:tcMar>
            <w:vAlign w:val="center"/>
          </w:tcPr>
          <w:p w14:paraId="7EF4866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93A72D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1971E7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47C2EB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D142FA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B2EEA2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2003EA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383B7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38FA9B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4587B9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37F2CBB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543" w:type="dxa"/>
            <w:shd w:val="clear" w:color="auto" w:fill="auto"/>
            <w:tcMar>
              <w:left w:w="108" w:type="dxa"/>
              <w:right w:w="108" w:type="dxa"/>
            </w:tcMar>
            <w:vAlign w:val="center"/>
          </w:tcPr>
          <w:p w14:paraId="2A43C0F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F23F9C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11AEBE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7577A15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96528E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2BAEC0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919FAA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AEBC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F9D53C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20C8B85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0CF07C0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543" w:type="dxa"/>
            <w:shd w:val="clear" w:color="auto" w:fill="auto"/>
            <w:tcMar>
              <w:left w:w="108" w:type="dxa"/>
              <w:right w:w="108" w:type="dxa"/>
            </w:tcMar>
            <w:vAlign w:val="center"/>
          </w:tcPr>
          <w:p w14:paraId="34AE8A1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F0ABB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A801CF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7BF9B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F6035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566FC40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2CB0B2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4B42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AE6E1E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4D7CECD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355" w:type="dxa"/>
            <w:shd w:val="clear" w:color="auto" w:fill="auto"/>
            <w:tcMar>
              <w:left w:w="108" w:type="dxa"/>
              <w:right w:w="108" w:type="dxa"/>
            </w:tcMar>
            <w:vAlign w:val="center"/>
          </w:tcPr>
          <w:p w14:paraId="54AA7FF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543" w:type="dxa"/>
            <w:shd w:val="clear" w:color="auto" w:fill="auto"/>
            <w:tcMar>
              <w:left w:w="108" w:type="dxa"/>
              <w:right w:w="108" w:type="dxa"/>
            </w:tcMar>
            <w:vAlign w:val="center"/>
          </w:tcPr>
          <w:p w14:paraId="34933A7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c>
          <w:tcPr>
            <w:tcW w:w="699" w:type="dxa"/>
            <w:shd w:val="clear" w:color="auto" w:fill="auto"/>
            <w:tcMar>
              <w:left w:w="108" w:type="dxa"/>
              <w:right w:w="108" w:type="dxa"/>
            </w:tcMar>
            <w:vAlign w:val="center"/>
          </w:tcPr>
          <w:p w14:paraId="677EC69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843B7C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BB8A5B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160F08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88F59B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5FAFC2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r>
      <w:tr w14:paraId="260D9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D3A311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28E358B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3AF113C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543" w:type="dxa"/>
            <w:shd w:val="clear" w:color="auto" w:fill="auto"/>
            <w:tcMar>
              <w:left w:w="108" w:type="dxa"/>
              <w:right w:w="108" w:type="dxa"/>
            </w:tcMar>
            <w:vAlign w:val="center"/>
          </w:tcPr>
          <w:p w14:paraId="1732FFA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877241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A229C5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385680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AB7F27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F78539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0B9D23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D54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535DC8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FAEC8C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16106FD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543" w:type="dxa"/>
            <w:shd w:val="clear" w:color="auto" w:fill="auto"/>
            <w:tcMar>
              <w:left w:w="108" w:type="dxa"/>
              <w:right w:w="108" w:type="dxa"/>
            </w:tcMar>
            <w:vAlign w:val="center"/>
          </w:tcPr>
          <w:p w14:paraId="32C9398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D3BE35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02CAC5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6DCCDB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D212BA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74A138A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071D48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5D96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0CEEA8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D03909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49759D2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543" w:type="dxa"/>
            <w:shd w:val="clear" w:color="auto" w:fill="auto"/>
            <w:tcMar>
              <w:left w:w="108" w:type="dxa"/>
              <w:right w:w="108" w:type="dxa"/>
            </w:tcMar>
            <w:vAlign w:val="center"/>
          </w:tcPr>
          <w:p w14:paraId="174A42D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6350F5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80F7BC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E2F0E5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D8D03E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BC5AC9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6AA9A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39E2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1E7B36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3696C52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4C3A4F8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2F6CEA9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543" w:type="dxa"/>
            <w:shd w:val="clear" w:color="auto" w:fill="auto"/>
            <w:tcMar>
              <w:left w:w="108" w:type="dxa"/>
              <w:right w:w="108" w:type="dxa"/>
            </w:tcMar>
            <w:vAlign w:val="center"/>
          </w:tcPr>
          <w:p w14:paraId="6987919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C6ADDB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55A29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8D9A18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73EDA20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C6560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38109F8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2EC1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480A94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78C1519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355" w:type="dxa"/>
            <w:shd w:val="clear" w:color="auto" w:fill="auto"/>
            <w:vAlign w:val="center"/>
          </w:tcPr>
          <w:p w14:paraId="17ED64A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543" w:type="dxa"/>
            <w:shd w:val="clear" w:color="auto" w:fill="auto"/>
            <w:tcMar>
              <w:left w:w="108" w:type="dxa"/>
              <w:right w:w="108" w:type="dxa"/>
            </w:tcMar>
            <w:vAlign w:val="center"/>
          </w:tcPr>
          <w:p w14:paraId="2B3B4E8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B961EA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7CF981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37670E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C8172A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780F471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3152ABA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0937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CD750C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0B9F82E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355" w:type="dxa"/>
            <w:shd w:val="clear" w:color="auto" w:fill="auto"/>
            <w:vAlign w:val="center"/>
          </w:tcPr>
          <w:p w14:paraId="6034F6D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543" w:type="dxa"/>
            <w:shd w:val="clear" w:color="auto" w:fill="auto"/>
            <w:tcMar>
              <w:left w:w="108" w:type="dxa"/>
              <w:right w:w="108" w:type="dxa"/>
            </w:tcMar>
            <w:vAlign w:val="center"/>
          </w:tcPr>
          <w:p w14:paraId="29A983C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A082CF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B0CC6A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097118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F37538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6D5A5B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CD9243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7E2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8A2875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67F530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355" w:type="dxa"/>
            <w:shd w:val="clear" w:color="auto" w:fill="auto"/>
            <w:vAlign w:val="center"/>
          </w:tcPr>
          <w:p w14:paraId="7A703B9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543" w:type="dxa"/>
            <w:shd w:val="clear" w:color="auto" w:fill="auto"/>
            <w:tcMar>
              <w:left w:w="108" w:type="dxa"/>
              <w:right w:w="108" w:type="dxa"/>
            </w:tcMar>
            <w:vAlign w:val="center"/>
          </w:tcPr>
          <w:p w14:paraId="307C8A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3C36C3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ADE3D3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7F9717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91BA3C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F7B611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5322C05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843D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9D02D4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355" w:type="dxa"/>
            <w:gridSpan w:val="2"/>
            <w:shd w:val="clear" w:color="auto" w:fill="auto"/>
            <w:tcMar>
              <w:left w:w="108" w:type="dxa"/>
              <w:right w:w="108" w:type="dxa"/>
            </w:tcMar>
            <w:vAlign w:val="center"/>
          </w:tcPr>
          <w:p w14:paraId="04098C8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543" w:type="dxa"/>
            <w:shd w:val="clear" w:color="auto" w:fill="auto"/>
            <w:tcMar>
              <w:left w:w="108" w:type="dxa"/>
              <w:right w:w="108" w:type="dxa"/>
            </w:tcMar>
            <w:vAlign w:val="center"/>
          </w:tcPr>
          <w:p w14:paraId="2715C0E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2</w:t>
            </w:r>
          </w:p>
        </w:tc>
        <w:tc>
          <w:tcPr>
            <w:tcW w:w="699" w:type="dxa"/>
            <w:shd w:val="clear" w:color="auto" w:fill="auto"/>
            <w:tcMar>
              <w:left w:w="108" w:type="dxa"/>
              <w:right w:w="108" w:type="dxa"/>
            </w:tcMar>
            <w:vAlign w:val="center"/>
          </w:tcPr>
          <w:p w14:paraId="18068FE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699" w:type="dxa"/>
            <w:shd w:val="clear" w:color="auto" w:fill="auto"/>
            <w:tcMar>
              <w:left w:w="108" w:type="dxa"/>
              <w:right w:w="108" w:type="dxa"/>
            </w:tcMar>
            <w:vAlign w:val="center"/>
          </w:tcPr>
          <w:p w14:paraId="270C3E7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877" w:type="dxa"/>
            <w:shd w:val="clear" w:color="auto" w:fill="auto"/>
            <w:tcMar>
              <w:left w:w="108" w:type="dxa"/>
              <w:right w:w="108" w:type="dxa"/>
            </w:tcMar>
            <w:vAlign w:val="center"/>
          </w:tcPr>
          <w:p w14:paraId="0E00709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701" w:type="dxa"/>
            <w:shd w:val="clear" w:color="auto" w:fill="auto"/>
            <w:tcMar>
              <w:left w:w="108" w:type="dxa"/>
              <w:right w:w="108" w:type="dxa"/>
            </w:tcMar>
            <w:vAlign w:val="center"/>
          </w:tcPr>
          <w:p w14:paraId="0CF6FA1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4" w:type="dxa"/>
            <w:shd w:val="clear" w:color="auto" w:fill="auto"/>
            <w:tcMar>
              <w:left w:w="108" w:type="dxa"/>
              <w:right w:w="108" w:type="dxa"/>
            </w:tcMar>
            <w:vAlign w:val="center"/>
          </w:tcPr>
          <w:p w14:paraId="364ED82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6" w:type="dxa"/>
            <w:shd w:val="clear" w:color="auto" w:fill="auto"/>
            <w:tcMar>
              <w:left w:w="108" w:type="dxa"/>
              <w:right w:w="108" w:type="dxa"/>
            </w:tcMar>
            <w:vAlign w:val="center"/>
          </w:tcPr>
          <w:p w14:paraId="6CD1768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2</w:t>
            </w:r>
          </w:p>
        </w:tc>
      </w:tr>
      <w:tr w14:paraId="711B5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171BFF0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543" w:type="dxa"/>
            <w:shd w:val="clear" w:color="auto" w:fill="auto"/>
            <w:tcMar>
              <w:left w:w="108" w:type="dxa"/>
              <w:right w:w="108" w:type="dxa"/>
            </w:tcMar>
            <w:vAlign w:val="center"/>
          </w:tcPr>
          <w:p w14:paraId="60C1CFA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4BCBB4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F2B77D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A4B67B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6BDA9D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8A3FE9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58BEA4C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bl>
    <w:p w14:paraId="4E0A498A">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151" w:type="pct"/>
        <w:jc w:val="center"/>
        <w:tblLayout w:type="autofit"/>
        <w:tblCellMar>
          <w:top w:w="0" w:type="dxa"/>
          <w:left w:w="10" w:type="dxa"/>
          <w:bottom w:w="0" w:type="dxa"/>
          <w:right w:w="10" w:type="dxa"/>
        </w:tblCellMar>
      </w:tblPr>
      <w:tblGrid>
        <w:gridCol w:w="560"/>
        <w:gridCol w:w="562"/>
        <w:gridCol w:w="562"/>
        <w:gridCol w:w="563"/>
        <w:gridCol w:w="604"/>
        <w:gridCol w:w="563"/>
        <w:gridCol w:w="563"/>
        <w:gridCol w:w="563"/>
        <w:gridCol w:w="563"/>
        <w:gridCol w:w="609"/>
        <w:gridCol w:w="563"/>
        <w:gridCol w:w="563"/>
        <w:gridCol w:w="563"/>
        <w:gridCol w:w="563"/>
        <w:gridCol w:w="613"/>
      </w:tblGrid>
      <w:tr w14:paraId="17238265">
        <w:tblPrEx>
          <w:tblCellMar>
            <w:top w:w="0" w:type="dxa"/>
            <w:left w:w="10" w:type="dxa"/>
            <w:bottom w:w="0" w:type="dxa"/>
            <w:right w:w="10" w:type="dxa"/>
          </w:tblCellMar>
        </w:tblPrEx>
        <w:trPr>
          <w:trHeight w:val="448" w:hRule="atLeast"/>
          <w:jc w:val="center"/>
        </w:trPr>
        <w:tc>
          <w:tcPr>
            <w:tcW w:w="1663" w:type="pct"/>
            <w:gridSpan w:val="5"/>
            <w:tcBorders>
              <w:top w:val="single" w:color="auto" w:sz="4" w:space="0"/>
              <w:left w:val="single" w:color="auto" w:sz="4" w:space="0"/>
            </w:tcBorders>
            <w:shd w:val="clear" w:color="auto" w:fill="FFFFFF"/>
            <w:vAlign w:val="center"/>
          </w:tcPr>
          <w:p w14:paraId="5A2E57E0">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6" w:type="pct"/>
            <w:gridSpan w:val="10"/>
            <w:tcBorders>
              <w:top w:val="single" w:color="auto" w:sz="4" w:space="0"/>
              <w:left w:val="single" w:color="auto" w:sz="4" w:space="0"/>
              <w:right w:val="single" w:color="auto" w:sz="4" w:space="0"/>
            </w:tcBorders>
            <w:shd w:val="clear" w:color="auto" w:fill="FFFFFF"/>
            <w:vAlign w:val="center"/>
          </w:tcPr>
          <w:p w14:paraId="316B1D3B">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60411355">
        <w:tblPrEx>
          <w:tblCellMar>
            <w:top w:w="0" w:type="dxa"/>
            <w:left w:w="10" w:type="dxa"/>
            <w:bottom w:w="0" w:type="dxa"/>
            <w:right w:w="10" w:type="dxa"/>
          </w:tblCellMar>
        </w:tblPrEx>
        <w:trPr>
          <w:trHeight w:val="448" w:hRule="atLeast"/>
          <w:jc w:val="center"/>
        </w:trPr>
        <w:tc>
          <w:tcPr>
            <w:tcW w:w="327" w:type="pct"/>
            <w:vMerge w:val="restart"/>
            <w:tcBorders>
              <w:top w:val="single" w:color="auto" w:sz="4" w:space="0"/>
              <w:left w:val="single" w:color="auto" w:sz="4" w:space="0"/>
            </w:tcBorders>
            <w:shd w:val="clear" w:color="auto" w:fill="FFFFFF"/>
            <w:vAlign w:val="center"/>
          </w:tcPr>
          <w:p w14:paraId="7E4B607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8" w:type="pct"/>
            <w:vMerge w:val="restart"/>
            <w:tcBorders>
              <w:top w:val="single" w:color="auto" w:sz="4" w:space="0"/>
              <w:left w:val="single" w:color="auto" w:sz="4" w:space="0"/>
            </w:tcBorders>
            <w:shd w:val="clear" w:color="auto" w:fill="FFFFFF"/>
            <w:vAlign w:val="center"/>
          </w:tcPr>
          <w:p w14:paraId="2BF689C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8" w:type="pct"/>
            <w:vMerge w:val="restart"/>
            <w:tcBorders>
              <w:top w:val="single" w:color="auto" w:sz="4" w:space="0"/>
              <w:left w:val="single" w:color="auto" w:sz="4" w:space="0"/>
            </w:tcBorders>
            <w:shd w:val="clear" w:color="auto" w:fill="FFFFFF"/>
            <w:vAlign w:val="center"/>
          </w:tcPr>
          <w:p w14:paraId="36ED533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8" w:type="pct"/>
            <w:vMerge w:val="restart"/>
            <w:tcBorders>
              <w:top w:val="single" w:color="auto" w:sz="4" w:space="0"/>
              <w:left w:val="single" w:color="auto" w:sz="4" w:space="0"/>
            </w:tcBorders>
            <w:shd w:val="clear" w:color="auto" w:fill="FFFFFF"/>
            <w:vAlign w:val="center"/>
          </w:tcPr>
          <w:p w14:paraId="4DE9874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0" w:type="pct"/>
            <w:vMerge w:val="restart"/>
            <w:tcBorders>
              <w:top w:val="single" w:color="auto" w:sz="4" w:space="0"/>
              <w:left w:val="single" w:color="auto" w:sz="4" w:space="0"/>
            </w:tcBorders>
            <w:shd w:val="clear" w:color="auto" w:fill="FFFFFF"/>
            <w:textDirection w:val="tbRlV"/>
            <w:vAlign w:val="center"/>
          </w:tcPr>
          <w:p w14:paraId="1B38ED63">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26FFDE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8" w:type="pct"/>
            <w:gridSpan w:val="5"/>
            <w:tcBorders>
              <w:top w:val="single" w:color="auto" w:sz="4" w:space="0"/>
              <w:left w:val="single" w:color="auto" w:sz="4" w:space="0"/>
              <w:right w:val="single" w:color="auto" w:sz="4" w:space="0"/>
            </w:tcBorders>
            <w:shd w:val="clear" w:color="auto" w:fill="FFFFFF"/>
            <w:vAlign w:val="center"/>
          </w:tcPr>
          <w:p w14:paraId="5563955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6AD22B37">
        <w:tblPrEx>
          <w:tblCellMar>
            <w:top w:w="0" w:type="dxa"/>
            <w:left w:w="10" w:type="dxa"/>
            <w:bottom w:w="0" w:type="dxa"/>
            <w:right w:w="10" w:type="dxa"/>
          </w:tblCellMar>
        </w:tblPrEx>
        <w:trPr>
          <w:trHeight w:val="888" w:hRule="atLeast"/>
          <w:jc w:val="center"/>
        </w:trPr>
        <w:tc>
          <w:tcPr>
            <w:tcW w:w="327" w:type="pct"/>
            <w:vMerge w:val="continue"/>
            <w:tcBorders>
              <w:left w:val="single" w:color="auto" w:sz="4" w:space="0"/>
            </w:tcBorders>
            <w:shd w:val="clear" w:color="auto" w:fill="FFFFFF"/>
            <w:vAlign w:val="center"/>
          </w:tcPr>
          <w:p w14:paraId="11AF97C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8" w:type="pct"/>
            <w:vMerge w:val="continue"/>
            <w:tcBorders>
              <w:left w:val="single" w:color="auto" w:sz="4" w:space="0"/>
            </w:tcBorders>
            <w:shd w:val="clear" w:color="auto" w:fill="FFFFFF"/>
            <w:vAlign w:val="center"/>
          </w:tcPr>
          <w:p w14:paraId="4BB7594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8" w:type="pct"/>
            <w:vMerge w:val="continue"/>
            <w:tcBorders>
              <w:left w:val="single" w:color="auto" w:sz="4" w:space="0"/>
            </w:tcBorders>
            <w:shd w:val="clear" w:color="auto" w:fill="FFFFFF"/>
            <w:vAlign w:val="center"/>
          </w:tcPr>
          <w:p w14:paraId="4A20F13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8" w:type="pct"/>
            <w:vMerge w:val="continue"/>
            <w:tcBorders>
              <w:left w:val="single" w:color="auto" w:sz="4" w:space="0"/>
            </w:tcBorders>
            <w:shd w:val="clear" w:color="auto" w:fill="FFFFFF"/>
            <w:vAlign w:val="center"/>
          </w:tcPr>
          <w:p w14:paraId="67ABF3C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50" w:type="pct"/>
            <w:vMerge w:val="continue"/>
            <w:tcBorders>
              <w:left w:val="single" w:color="auto" w:sz="4" w:space="0"/>
            </w:tcBorders>
            <w:shd w:val="clear" w:color="auto" w:fill="FFFFFF"/>
            <w:textDirection w:val="tbRlV"/>
            <w:vAlign w:val="center"/>
          </w:tcPr>
          <w:p w14:paraId="0E11470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8" w:type="pct"/>
            <w:tcBorders>
              <w:top w:val="single" w:color="auto" w:sz="4" w:space="0"/>
              <w:left w:val="single" w:color="auto" w:sz="4" w:space="0"/>
            </w:tcBorders>
            <w:shd w:val="clear" w:color="auto" w:fill="FFFFFF"/>
            <w:vAlign w:val="center"/>
          </w:tcPr>
          <w:p w14:paraId="054CC4F0">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8" w:type="pct"/>
            <w:tcBorders>
              <w:top w:val="single" w:color="auto" w:sz="4" w:space="0"/>
              <w:left w:val="single" w:color="auto" w:sz="4" w:space="0"/>
            </w:tcBorders>
            <w:shd w:val="clear" w:color="auto" w:fill="FFFFFF"/>
            <w:vAlign w:val="center"/>
          </w:tcPr>
          <w:p w14:paraId="185D78D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8" w:type="pct"/>
            <w:tcBorders>
              <w:top w:val="single" w:color="auto" w:sz="4" w:space="0"/>
              <w:left w:val="single" w:color="auto" w:sz="4" w:space="0"/>
            </w:tcBorders>
            <w:shd w:val="clear" w:color="auto" w:fill="FFFFFF"/>
            <w:vAlign w:val="center"/>
          </w:tcPr>
          <w:p w14:paraId="45CA4E45">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8" w:type="pct"/>
            <w:tcBorders>
              <w:top w:val="single" w:color="auto" w:sz="4" w:space="0"/>
              <w:left w:val="single" w:color="auto" w:sz="4" w:space="0"/>
            </w:tcBorders>
            <w:shd w:val="clear" w:color="auto" w:fill="FFFFFF"/>
            <w:vAlign w:val="center"/>
          </w:tcPr>
          <w:p w14:paraId="2506EDFE">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2" w:type="pct"/>
            <w:tcBorders>
              <w:top w:val="single" w:color="auto" w:sz="4" w:space="0"/>
              <w:left w:val="single" w:color="auto" w:sz="4" w:space="0"/>
            </w:tcBorders>
            <w:shd w:val="clear" w:color="auto" w:fill="FFFFFF"/>
            <w:textDirection w:val="tbRlV"/>
            <w:vAlign w:val="center"/>
          </w:tcPr>
          <w:p w14:paraId="098F54EE">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8" w:type="pct"/>
            <w:tcBorders>
              <w:top w:val="single" w:color="auto" w:sz="4" w:space="0"/>
              <w:left w:val="single" w:color="auto" w:sz="4" w:space="0"/>
            </w:tcBorders>
            <w:shd w:val="clear" w:color="auto" w:fill="FFFFFF"/>
            <w:vAlign w:val="center"/>
          </w:tcPr>
          <w:p w14:paraId="652A854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8" w:type="pct"/>
            <w:tcBorders>
              <w:top w:val="single" w:color="auto" w:sz="4" w:space="0"/>
              <w:left w:val="single" w:color="auto" w:sz="4" w:space="0"/>
            </w:tcBorders>
            <w:shd w:val="clear" w:color="auto" w:fill="FFFFFF"/>
            <w:vAlign w:val="center"/>
          </w:tcPr>
          <w:p w14:paraId="67D22F5B">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8" w:type="pct"/>
            <w:tcBorders>
              <w:top w:val="single" w:color="auto" w:sz="4" w:space="0"/>
              <w:left w:val="single" w:color="auto" w:sz="4" w:space="0"/>
            </w:tcBorders>
            <w:shd w:val="clear" w:color="auto" w:fill="FFFFFF"/>
            <w:vAlign w:val="center"/>
          </w:tcPr>
          <w:p w14:paraId="40F30ED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8" w:type="pct"/>
            <w:tcBorders>
              <w:top w:val="single" w:color="auto" w:sz="4" w:space="0"/>
              <w:left w:val="single" w:color="auto" w:sz="4" w:space="0"/>
            </w:tcBorders>
            <w:shd w:val="clear" w:color="auto" w:fill="FFFFFF"/>
            <w:vAlign w:val="center"/>
          </w:tcPr>
          <w:p w14:paraId="46593DFB">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3" w:type="pct"/>
            <w:tcBorders>
              <w:top w:val="single" w:color="auto" w:sz="4" w:space="0"/>
              <w:left w:val="single" w:color="auto" w:sz="4" w:space="0"/>
              <w:right w:val="single" w:color="auto" w:sz="4" w:space="0"/>
            </w:tcBorders>
            <w:shd w:val="clear" w:color="auto" w:fill="FFFFFF"/>
            <w:textDirection w:val="tbRlV"/>
            <w:vAlign w:val="center"/>
          </w:tcPr>
          <w:p w14:paraId="511B81BE">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6418C23D">
        <w:tblPrEx>
          <w:tblCellMar>
            <w:top w:w="0" w:type="dxa"/>
            <w:left w:w="10" w:type="dxa"/>
            <w:bottom w:w="0" w:type="dxa"/>
            <w:right w:w="10" w:type="dxa"/>
          </w:tblCellMar>
        </w:tblPrEx>
        <w:trPr>
          <w:trHeight w:val="456" w:hRule="atLeast"/>
          <w:jc w:val="center"/>
        </w:trPr>
        <w:tc>
          <w:tcPr>
            <w:tcW w:w="327" w:type="pct"/>
            <w:tcBorders>
              <w:top w:val="single" w:color="auto" w:sz="4" w:space="0"/>
              <w:left w:val="single" w:color="auto" w:sz="4" w:space="0"/>
              <w:bottom w:val="single" w:color="auto" w:sz="4" w:space="0"/>
            </w:tcBorders>
            <w:shd w:val="clear" w:color="auto" w:fill="FFFFFF"/>
            <w:vAlign w:val="center"/>
          </w:tcPr>
          <w:p w14:paraId="3674AEC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6118D15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0284BE6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2C346D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0" w:type="pct"/>
            <w:tcBorders>
              <w:top w:val="single" w:color="auto" w:sz="4" w:space="0"/>
              <w:left w:val="single" w:color="auto" w:sz="4" w:space="0"/>
              <w:bottom w:val="single" w:color="auto" w:sz="4" w:space="0"/>
            </w:tcBorders>
            <w:shd w:val="clear" w:color="auto" w:fill="FFFFFF"/>
            <w:vAlign w:val="center"/>
          </w:tcPr>
          <w:p w14:paraId="5E5D719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44576D1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2F6E66D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50BEB9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3778E05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2" w:type="pct"/>
            <w:tcBorders>
              <w:top w:val="single" w:color="auto" w:sz="4" w:space="0"/>
              <w:left w:val="single" w:color="auto" w:sz="4" w:space="0"/>
              <w:bottom w:val="single" w:color="auto" w:sz="4" w:space="0"/>
            </w:tcBorders>
            <w:shd w:val="clear" w:color="auto" w:fill="FFFFFF"/>
            <w:vAlign w:val="center"/>
          </w:tcPr>
          <w:p w14:paraId="6C0822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2E24565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2709175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14DC37C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021BFA3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FFFFFF"/>
            <w:vAlign w:val="center"/>
          </w:tcPr>
          <w:p w14:paraId="6D0234A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2E159FA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40B217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022188F5">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kern w:val="0"/>
          <w:sz w:val="32"/>
          <w:szCs w:val="32"/>
          <w:lang w:val="en-US" w:eastAsia="zh-CN" w:bidi="en-US"/>
        </w:rPr>
      </w:pPr>
      <w:r>
        <w:rPr>
          <w:rFonts w:hint="default" w:ascii="Times New Roman" w:hAnsi="Times New Roman" w:eastAsia="仿宋_GB2312" w:cs="Times New Roman"/>
          <w:color w:val="auto"/>
          <w:kern w:val="0"/>
          <w:sz w:val="32"/>
          <w:szCs w:val="32"/>
          <w:lang w:val="en-US" w:eastAsia="zh-CN" w:bidi="en-US"/>
        </w:rPr>
        <w:t>针对2024年政务公开信息公开的质量、形式需持续改进等问题，市中区应急管理局围绕</w:t>
      </w:r>
      <w:r>
        <w:rPr>
          <w:rFonts w:hint="eastAsia" w:eastAsia="仿宋_GB2312" w:cs="Times New Roman"/>
          <w:color w:val="auto"/>
          <w:kern w:val="0"/>
          <w:sz w:val="32"/>
          <w:szCs w:val="32"/>
          <w:lang w:val="en-US" w:eastAsia="zh-CN" w:bidi="en-US"/>
        </w:rPr>
        <w:t>安全生产监管、防灾减灾救灾等核心</w:t>
      </w:r>
      <w:r>
        <w:rPr>
          <w:rFonts w:hint="default" w:ascii="Times New Roman" w:hAnsi="Times New Roman" w:eastAsia="仿宋_GB2312" w:cs="Times New Roman"/>
          <w:color w:val="auto"/>
          <w:kern w:val="0"/>
          <w:sz w:val="32"/>
          <w:szCs w:val="32"/>
          <w:lang w:val="en-US" w:eastAsia="zh-CN" w:bidi="en-US"/>
        </w:rPr>
        <w:t>职能，全面落实整改工作。</w:t>
      </w:r>
      <w:r>
        <w:rPr>
          <w:rFonts w:hint="eastAsia" w:eastAsia="仿宋_GB2312" w:cs="Times New Roman"/>
          <w:color w:val="auto"/>
          <w:kern w:val="0"/>
          <w:sz w:val="32"/>
          <w:szCs w:val="32"/>
          <w:lang w:val="en-US" w:eastAsia="zh-CN" w:bidi="en-US"/>
        </w:rPr>
        <w:t>利用政府门户网站、公众号、市中融媒、报纸、杂志等多渠道对信息进行公开。</w:t>
      </w:r>
    </w:p>
    <w:p w14:paraId="01EE3EB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5909AB33">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en-US"/>
        </w:rPr>
      </w:pPr>
      <w:r>
        <w:rPr>
          <w:rFonts w:hint="default" w:ascii="Times New Roman" w:hAnsi="Times New Roman" w:eastAsia="仿宋_GB2312" w:cs="Times New Roman"/>
          <w:color w:val="auto"/>
          <w:kern w:val="0"/>
          <w:sz w:val="32"/>
          <w:szCs w:val="32"/>
          <w:lang w:val="en-US" w:eastAsia="zh-CN" w:bidi="en-US"/>
        </w:rPr>
        <w:t>2025年，</w:t>
      </w:r>
      <w:r>
        <w:rPr>
          <w:rFonts w:hint="eastAsia" w:ascii="Times New Roman" w:hAnsi="Times New Roman" w:eastAsia="仿宋_GB2312" w:cs="Times New Roman"/>
          <w:color w:val="auto"/>
          <w:kern w:val="0"/>
          <w:sz w:val="32"/>
          <w:szCs w:val="32"/>
          <w:lang w:val="en-US" w:eastAsia="zh-CN" w:bidi="en-US"/>
        </w:rPr>
        <w:t>市中区应急管理局</w:t>
      </w:r>
      <w:r>
        <w:rPr>
          <w:rFonts w:hint="default" w:ascii="Times New Roman" w:hAnsi="Times New Roman" w:eastAsia="仿宋_GB2312" w:cs="Times New Roman"/>
          <w:color w:val="auto"/>
          <w:kern w:val="0"/>
          <w:sz w:val="32"/>
          <w:szCs w:val="32"/>
          <w:lang w:val="en-US" w:eastAsia="zh-CN" w:bidi="en-US"/>
        </w:rPr>
        <w:t>政府</w:t>
      </w:r>
      <w:r>
        <w:rPr>
          <w:rFonts w:hint="eastAsia" w:eastAsia="仿宋_GB2312" w:cs="Times New Roman"/>
          <w:color w:val="auto"/>
          <w:kern w:val="0"/>
          <w:sz w:val="32"/>
          <w:szCs w:val="32"/>
          <w:lang w:val="en-US" w:eastAsia="zh-CN" w:bidi="en-US"/>
        </w:rPr>
        <w:t>信息公开工作</w:t>
      </w:r>
      <w:r>
        <w:rPr>
          <w:rFonts w:hint="default" w:ascii="Times New Roman" w:hAnsi="Times New Roman" w:eastAsia="仿宋_GB2312" w:cs="Times New Roman"/>
          <w:color w:val="auto"/>
          <w:kern w:val="0"/>
          <w:sz w:val="32"/>
          <w:szCs w:val="32"/>
          <w:lang w:val="en-US" w:eastAsia="zh-CN" w:bidi="en-US"/>
        </w:rPr>
        <w:t>运转平稳、规范有序</w:t>
      </w:r>
      <w:r>
        <w:rPr>
          <w:rFonts w:hint="eastAsia" w:ascii="Times New Roman" w:hAnsi="Times New Roman" w:eastAsia="仿宋_GB2312" w:cs="Times New Roman"/>
          <w:color w:val="auto"/>
          <w:kern w:val="0"/>
          <w:sz w:val="32"/>
          <w:szCs w:val="32"/>
          <w:lang w:val="en-US" w:eastAsia="zh-CN" w:bidi="en-US"/>
        </w:rPr>
        <w:t>，</w:t>
      </w:r>
      <w:r>
        <w:rPr>
          <w:rFonts w:hint="eastAsia" w:eastAsia="仿宋_GB2312" w:cs="Times New Roman"/>
          <w:color w:val="auto"/>
          <w:kern w:val="0"/>
          <w:sz w:val="32"/>
          <w:szCs w:val="32"/>
          <w:lang w:val="en-US" w:eastAsia="zh-CN" w:bidi="en-US"/>
        </w:rPr>
        <w:t>但</w:t>
      </w:r>
      <w:r>
        <w:rPr>
          <w:rFonts w:hint="default" w:ascii="Times New Roman" w:hAnsi="Times New Roman" w:eastAsia="仿宋_GB2312" w:cs="Times New Roman"/>
          <w:color w:val="auto"/>
          <w:kern w:val="0"/>
          <w:sz w:val="32"/>
          <w:szCs w:val="32"/>
          <w:lang w:val="en-US" w:eastAsia="zh-CN" w:bidi="en-US"/>
        </w:rPr>
        <w:t>仍</w:t>
      </w:r>
      <w:r>
        <w:rPr>
          <w:rFonts w:hint="eastAsia" w:ascii="Times New Roman" w:hAnsi="Times New Roman" w:eastAsia="仿宋_GB2312" w:cs="Times New Roman"/>
          <w:color w:val="auto"/>
          <w:kern w:val="0"/>
          <w:sz w:val="32"/>
          <w:szCs w:val="32"/>
          <w:lang w:val="en-US" w:eastAsia="zh-CN" w:bidi="en-US"/>
        </w:rPr>
        <w:t>然存在</w:t>
      </w:r>
      <w:r>
        <w:rPr>
          <w:rFonts w:hint="default" w:ascii="Times New Roman" w:hAnsi="Times New Roman" w:eastAsia="仿宋_GB2312" w:cs="Times New Roman"/>
          <w:color w:val="auto"/>
          <w:kern w:val="0"/>
          <w:sz w:val="32"/>
          <w:szCs w:val="32"/>
          <w:lang w:val="en-US" w:eastAsia="zh-CN" w:bidi="en-US"/>
        </w:rPr>
        <w:t>部分栏目信息更新不够及时高效</w:t>
      </w:r>
      <w:r>
        <w:rPr>
          <w:rFonts w:hint="eastAsia" w:ascii="Times New Roman" w:hAnsi="Times New Roman" w:eastAsia="仿宋_GB2312" w:cs="Times New Roman"/>
          <w:color w:val="auto"/>
          <w:kern w:val="0"/>
          <w:sz w:val="32"/>
          <w:szCs w:val="32"/>
          <w:lang w:val="en-US" w:eastAsia="zh-CN" w:bidi="en-US"/>
        </w:rPr>
        <w:t>、</w:t>
      </w:r>
      <w:r>
        <w:rPr>
          <w:rFonts w:hint="default" w:ascii="Times New Roman" w:hAnsi="Times New Roman" w:eastAsia="仿宋_GB2312" w:cs="Times New Roman"/>
          <w:color w:val="auto"/>
          <w:kern w:val="0"/>
          <w:sz w:val="32"/>
          <w:szCs w:val="32"/>
          <w:lang w:val="en-US" w:eastAsia="zh-CN" w:bidi="en-US"/>
        </w:rPr>
        <w:t>政务公开标准化规范化有待提升，政务公开的内容和形式有待进一步优化</w:t>
      </w:r>
      <w:r>
        <w:rPr>
          <w:rFonts w:hint="eastAsia" w:ascii="Times New Roman" w:hAnsi="Times New Roman" w:eastAsia="仿宋_GB2312" w:cs="Times New Roman"/>
          <w:color w:val="auto"/>
          <w:kern w:val="0"/>
          <w:sz w:val="32"/>
          <w:szCs w:val="32"/>
          <w:lang w:val="en-US" w:eastAsia="zh-CN" w:bidi="en-US"/>
        </w:rPr>
        <w:t>等问题。</w:t>
      </w:r>
    </w:p>
    <w:p w14:paraId="2DCED98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eastAsia" w:eastAsia="黑体" w:cs="Times New Roman"/>
          <w:color w:val="auto"/>
          <w:sz w:val="32"/>
          <w:szCs w:val="32"/>
          <w:lang w:val="en-US" w:eastAsia="zh-CN" w:bidi="ar-SA"/>
        </w:rPr>
        <w:t>（三）</w:t>
      </w:r>
      <w:r>
        <w:rPr>
          <w:rFonts w:hint="default" w:ascii="Times New Roman" w:hAnsi="Times New Roman" w:eastAsia="黑体" w:cs="Times New Roman"/>
          <w:color w:val="auto"/>
          <w:sz w:val="32"/>
          <w:szCs w:val="32"/>
          <w:lang w:val="en-US" w:eastAsia="zh-CN" w:bidi="ar-SA"/>
        </w:rPr>
        <w:t>改进措施　</w:t>
      </w:r>
    </w:p>
    <w:p w14:paraId="5057D7FF">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en-US"/>
        </w:rPr>
      </w:pPr>
      <w:r>
        <w:rPr>
          <w:rFonts w:hint="eastAsia" w:ascii="Times New Roman" w:hAnsi="Times New Roman" w:eastAsia="仿宋_GB2312" w:cs="Times New Roman"/>
          <w:color w:val="auto"/>
          <w:kern w:val="0"/>
          <w:sz w:val="32"/>
          <w:szCs w:val="32"/>
          <w:lang w:val="en-US" w:eastAsia="zh-CN" w:bidi="en-US"/>
        </w:rPr>
        <w:t>一是提高站位，深化认识，确保工作责任到位；二是加强宣传，拓宽报刊、媒体等公开渠道；三是规范程序，严格信息发布各环节管理；四是加强培训，提升信息报送质量与主动性。</w:t>
      </w:r>
    </w:p>
    <w:p w14:paraId="014E949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2004A8E1">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27E97F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仿宋_GB2312"/>
          <w:color w:val="auto"/>
          <w:sz w:val="32"/>
          <w:szCs w:val="32"/>
          <w:lang w:eastAsia="zh-CN"/>
        </w:rPr>
      </w:pPr>
      <w:r>
        <w:rPr>
          <w:rFonts w:hint="eastAsia" w:eastAsia="仿宋_GB2312"/>
          <w:color w:val="auto"/>
          <w:sz w:val="32"/>
          <w:szCs w:val="32"/>
          <w:lang w:val="en-US" w:eastAsia="zh-CN"/>
        </w:rPr>
        <w:t>本年度依申请公开政府信息未收取任何费用。</w:t>
      </w:r>
    </w:p>
    <w:p w14:paraId="0FA29C0E">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落实上级年度政务公开工作要点情况</w:t>
      </w:r>
    </w:p>
    <w:p w14:paraId="3D7363D3">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en-US"/>
        </w:rPr>
      </w:pPr>
      <w:r>
        <w:rPr>
          <w:rFonts w:hint="default" w:ascii="Times New Roman" w:hAnsi="Times New Roman" w:eastAsia="仿宋_GB2312" w:cs="Times New Roman"/>
          <w:color w:val="auto"/>
          <w:kern w:val="0"/>
          <w:sz w:val="32"/>
          <w:szCs w:val="32"/>
          <w:lang w:val="en-US" w:eastAsia="zh-CN" w:bidi="en-US"/>
        </w:rPr>
        <w:t>严格按照上级年度政务公开工作要求和任务，积极落实各项政务公开工作，不断提升人民群众的满意度、幸福感、安全感。</w:t>
      </w:r>
    </w:p>
    <w:p w14:paraId="0A8FAB85">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人大代表建议和政协委员提案办理情况</w:t>
      </w:r>
    </w:p>
    <w:p w14:paraId="0A2B7FE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年，市中区应急管理局</w:t>
      </w:r>
      <w:r>
        <w:rPr>
          <w:rFonts w:hint="eastAsia" w:eastAsia="仿宋_GB2312" w:cs="Times New Roman"/>
          <w:b w:val="0"/>
          <w:bCs w:val="0"/>
          <w:color w:val="auto"/>
          <w:sz w:val="32"/>
          <w:szCs w:val="32"/>
          <w:lang w:val="en-US" w:eastAsia="zh-CN"/>
        </w:rPr>
        <w:t>未</w:t>
      </w:r>
      <w:r>
        <w:rPr>
          <w:rFonts w:hint="default" w:ascii="Times New Roman" w:hAnsi="Times New Roman" w:eastAsia="仿宋_GB2312" w:cs="Times New Roman"/>
          <w:b w:val="0"/>
          <w:bCs w:val="0"/>
          <w:color w:val="auto"/>
          <w:sz w:val="32"/>
          <w:szCs w:val="32"/>
          <w:lang w:val="en-US" w:eastAsia="zh-CN"/>
        </w:rPr>
        <w:t>承办区级人大代表建议</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承办区政协委员提案1件，</w:t>
      </w:r>
      <w:r>
        <w:rPr>
          <w:rFonts w:hint="eastAsia" w:ascii="Times New Roman" w:hAnsi="Times New Roman" w:eastAsia="仿宋_GB2312" w:cs="Times New Roman"/>
          <w:sz w:val="32"/>
          <w:szCs w:val="32"/>
          <w:lang w:val="en-US" w:eastAsia="zh-CN"/>
        </w:rPr>
        <w:t>办复率100%。</w:t>
      </w:r>
    </w:p>
    <w:p w14:paraId="1E7E67C7">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本行政机关年度政务公开工作创新情况</w:t>
      </w:r>
    </w:p>
    <w:p w14:paraId="6E14CDD1">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无。</w:t>
      </w:r>
    </w:p>
    <w:p w14:paraId="3C88025F">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7643E570">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eastAsia="仿宋_GB2312"/>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default" w:ascii="Times New Roman" w:hAnsi="Times New Roman" w:eastAsia="仿宋_GB2312" w:cs="Times New Roman"/>
          <w:color w:val="auto"/>
          <w:sz w:val="32"/>
          <w:szCs w:val="32"/>
          <w:shd w:val="clear" w:color="auto" w:fill="FFFFFF"/>
          <w:lang w:val="en-US" w:eastAsia="zh-CN"/>
        </w:rPr>
        <w:t>市中区应急管理局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枣庄市市中区</w:t>
      </w:r>
      <w:r>
        <w:rPr>
          <w:rFonts w:hint="default" w:ascii="Times New Roman" w:hAnsi="Times New Roman" w:eastAsia="仿宋_GB2312" w:cs="Times New Roman"/>
          <w:color w:val="auto"/>
          <w:sz w:val="32"/>
          <w:szCs w:val="32"/>
          <w:shd w:val="clear" w:color="auto" w:fill="FFFFFF"/>
          <w:lang w:val="en-US" w:eastAsia="zh-CN"/>
        </w:rPr>
        <w:t>文化中路22</w:t>
      </w:r>
      <w:r>
        <w:rPr>
          <w:rFonts w:hint="eastAsia" w:eastAsia="仿宋_GB2312"/>
          <w:color w:val="auto"/>
          <w:sz w:val="32"/>
          <w:szCs w:val="32"/>
          <w:shd w:val="clear" w:color="auto" w:fill="FFFFFF"/>
          <w:lang w:val="en-US" w:eastAsia="zh-CN"/>
        </w:rPr>
        <w:t>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w:t>
      </w:r>
      <w:r>
        <w:rPr>
          <w:rFonts w:hint="eastAsia" w:eastAsia="仿宋_GB2312"/>
          <w:color w:val="auto"/>
          <w:sz w:val="32"/>
          <w:szCs w:val="32"/>
          <w:lang w:val="en-US" w:eastAsia="zh-CN"/>
        </w:rPr>
        <w:t>3314889</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Fonts w:hint="default" w:ascii="Times New Roman" w:hAnsi="Times New Roman" w:eastAsia="仿宋_GB2312" w:cs="Times New Roman"/>
          <w:color w:val="auto"/>
          <w:sz w:val="32"/>
          <w:szCs w:val="32"/>
          <w:shd w:val="clear" w:color="auto" w:fill="FFFFFF"/>
          <w:lang w:val="en-US" w:eastAsia="zh-CN"/>
        </w:rPr>
        <w:t>zzszyjj</w:t>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eastAsia="仿宋_GB2312"/>
          <w:color w:val="auto"/>
          <w:sz w:val="32"/>
          <w:szCs w:val="32"/>
          <w:shd w:val="clear" w:color="auto" w:fill="FFFFFF"/>
          <w:lang w:eastAsia="zh-CN"/>
        </w:rPr>
        <w:t>） 。</w:t>
      </w:r>
    </w:p>
    <w:p w14:paraId="42963BBF">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4A1AB03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1F2FAC0">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0BB054B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市中区</w:t>
      </w:r>
      <w:r>
        <w:rPr>
          <w:rFonts w:hint="eastAsia" w:ascii="Times New Roman" w:hAnsi="Times New Roman" w:eastAsia="仿宋_GB2312" w:cs="Times New Roman"/>
          <w:b/>
          <w:bCs/>
          <w:color w:val="auto"/>
          <w:sz w:val="32"/>
          <w:szCs w:val="32"/>
          <w:shd w:val="clear" w:color="auto" w:fill="FFFFFF"/>
          <w:lang w:val="en-US" w:eastAsia="zh-CN"/>
        </w:rPr>
        <w:t>应急管理局</w:t>
      </w:r>
    </w:p>
    <w:p w14:paraId="4262ED40">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14</w:t>
      </w:r>
      <w:r>
        <w:rPr>
          <w:rFonts w:hint="default" w:ascii="Times New Roman" w:hAnsi="Times New Roman" w:eastAsia="仿宋_GB2312" w:cs="Times New Roman"/>
          <w:b/>
          <w:bCs/>
          <w:color w:val="auto"/>
          <w:sz w:val="32"/>
          <w:szCs w:val="32"/>
          <w:shd w:val="clear" w:color="auto" w:fill="FFFFFF"/>
          <w:lang w:val="en-US" w:eastAsia="zh-CN"/>
        </w:rPr>
        <w:t>日</w:t>
      </w:r>
    </w:p>
    <w:p w14:paraId="15A0B9E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bookmarkStart w:id="9" w:name="_GoBack"/>
      <w:bookmarkEnd w:id="9"/>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6C9711-1182-49CA-BB07-13B550388F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6299B74-12BC-4DB4-9C47-75EF364320FC}"/>
  </w:font>
  <w:font w:name="仿宋_GB2312">
    <w:panose1 w:val="02010609030101010101"/>
    <w:charset w:val="86"/>
    <w:family w:val="modern"/>
    <w:pitch w:val="default"/>
    <w:sig w:usb0="00000001" w:usb1="080E0000" w:usb2="00000000" w:usb3="00000000" w:csb0="00040000" w:csb1="00000000"/>
    <w:embedRegular r:id="rId3" w:fontKey="{6F74C075-0D18-477D-95A6-449F0B045819}"/>
  </w:font>
  <w:font w:name="微软雅黑">
    <w:panose1 w:val="020B0503020204020204"/>
    <w:charset w:val="86"/>
    <w:family w:val="swiss"/>
    <w:pitch w:val="default"/>
    <w:sig w:usb0="80000287" w:usb1="2ACF3C50" w:usb2="00000016" w:usb3="00000000" w:csb0="0004001F" w:csb1="00000000"/>
    <w:embedRegular r:id="rId4" w:fontKey="{74C96720-990E-4B58-A67C-69FB5CB7A1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2842C">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5AD5E73">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55AD5E73">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61EC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E15B5"/>
    <w:multiLevelType w:val="singleLevel"/>
    <w:tmpl w:val="B5EE15B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19F732F"/>
    <w:rsid w:val="021D046B"/>
    <w:rsid w:val="025E0CC2"/>
    <w:rsid w:val="08560D28"/>
    <w:rsid w:val="093E69A0"/>
    <w:rsid w:val="0A3E1141"/>
    <w:rsid w:val="0B8F2AB2"/>
    <w:rsid w:val="0D426B65"/>
    <w:rsid w:val="0DB7343A"/>
    <w:rsid w:val="101A475B"/>
    <w:rsid w:val="1AAF71B2"/>
    <w:rsid w:val="1D276D79"/>
    <w:rsid w:val="1DC53412"/>
    <w:rsid w:val="1FD24907"/>
    <w:rsid w:val="2007106B"/>
    <w:rsid w:val="2167328C"/>
    <w:rsid w:val="223B0C92"/>
    <w:rsid w:val="227F4F5F"/>
    <w:rsid w:val="24B65C7B"/>
    <w:rsid w:val="271F6DB2"/>
    <w:rsid w:val="283755B5"/>
    <w:rsid w:val="28BE4FD8"/>
    <w:rsid w:val="2A366FA5"/>
    <w:rsid w:val="2A6E4A40"/>
    <w:rsid w:val="2B247393"/>
    <w:rsid w:val="2B7E7F7A"/>
    <w:rsid w:val="34C27E73"/>
    <w:rsid w:val="372B44B7"/>
    <w:rsid w:val="37DD4F2A"/>
    <w:rsid w:val="3CA63654"/>
    <w:rsid w:val="3FDF3B33"/>
    <w:rsid w:val="3FFEC713"/>
    <w:rsid w:val="424E6C95"/>
    <w:rsid w:val="42962A0C"/>
    <w:rsid w:val="43677CBB"/>
    <w:rsid w:val="4A263FB9"/>
    <w:rsid w:val="4B3E73CA"/>
    <w:rsid w:val="4BE16E0F"/>
    <w:rsid w:val="4E7F5A28"/>
    <w:rsid w:val="4ED626E7"/>
    <w:rsid w:val="4F1B009D"/>
    <w:rsid w:val="5A891C07"/>
    <w:rsid w:val="5AE6494C"/>
    <w:rsid w:val="5B0B0F7E"/>
    <w:rsid w:val="5EA95810"/>
    <w:rsid w:val="609F2D1B"/>
    <w:rsid w:val="62A02DE5"/>
    <w:rsid w:val="62DF0CAC"/>
    <w:rsid w:val="64490C92"/>
    <w:rsid w:val="667F9A54"/>
    <w:rsid w:val="6EC52406"/>
    <w:rsid w:val="70511622"/>
    <w:rsid w:val="716632E1"/>
    <w:rsid w:val="71742F46"/>
    <w:rsid w:val="72BB477E"/>
    <w:rsid w:val="743334DA"/>
    <w:rsid w:val="754C48A1"/>
    <w:rsid w:val="77FC9D78"/>
    <w:rsid w:val="79390A27"/>
    <w:rsid w:val="79EFE4E6"/>
    <w:rsid w:val="7D726BF8"/>
    <w:rsid w:val="7E3F9F9A"/>
    <w:rsid w:val="7F2D68BD"/>
    <w:rsid w:val="7F4B8C1E"/>
    <w:rsid w:val="7FD263F0"/>
    <w:rsid w:val="A3EB6AAE"/>
    <w:rsid w:val="BEF69EF7"/>
    <w:rsid w:val="BF356A60"/>
    <w:rsid w:val="BFD90747"/>
    <w:rsid w:val="BFFEAE47"/>
    <w:rsid w:val="F2E7D1C2"/>
    <w:rsid w:val="F75B9BAD"/>
    <w:rsid w:val="FCEFD316"/>
    <w:rsid w:val="FEFF4173"/>
    <w:rsid w:val="FFE1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642332ec-997a-4175-8460-5b57ba50c926</errorID>
      <errorWord>处理</errorWord>
      <group>L1_Word</group>
      <groupName>字词问题</groupName>
      <ability>L2_Typo</ability>
      <abilityName>字词错误</abilityName>
      <candidateList>
        <item>受理</item>
      </candidateList>
      <explain/>
      <paraID>17ED64A0</paraID>
      <start>22</start>
      <end>24</end>
      <status>unmodified</status>
      <modifiedWord/>
      <trackRevisions>false</trackRevisions>
    </reviewItem>
    <reviewItem>
      <errorID>c698a8db-6f07-44e4-a7c9-283c499c9aa7</errorID>
      <errorWord>处理</errorWord>
      <group>L1_Word</group>
      <groupName>字词问题</groupName>
      <ability>L2_Typo</ability>
      <abilityName>字词错误</abilityName>
      <candidateList>
        <item>受理</item>
      </candidateList>
      <explain/>
      <paraID>6034F6DF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c538d9-152d-4a49-b7e7-b33425a1c057}">
  <ds:schemaRefs/>
</ds:datastoreItem>
</file>

<file path=docProps/app.xml><?xml version="1.0" encoding="utf-8"?>
<Properties xmlns="http://schemas.openxmlformats.org/officeDocument/2006/extended-properties" xmlns:vt="http://schemas.openxmlformats.org/officeDocument/2006/docPropsVTypes">
  <Template>Normal</Template>
  <Pages>7</Pages>
  <Words>1642</Words>
  <Characters>1750</Characters>
  <Lines>53</Lines>
  <Paragraphs>15</Paragraphs>
  <TotalTime>36</TotalTime>
  <ScaleCrop>false</ScaleCrop>
  <LinksUpToDate>false</LinksUpToDate>
  <CharactersWithSpaces>1753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2021-11-02T17:59:00Z</dcterms:created>
  <dc:creator>p</dc:creator>
  <cp:lastModifiedBy>WPS_1696590446</cp:lastModifiedBy>
  <cp:lastPrinted>2021-11-02T18:00:00Z</cp:lastPrinted>
  <dcterms:modified xsi:type="dcterms:W3CDTF">2026-01-20T08:22:05Z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0A9D9A5AA1304A77B984A001034B63B7_13</vt:lpwstr>
  </property>
</Properties>
</file>