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F490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ascii="Times New Roman" w:hAnsi="Times New Roman" w:eastAsia="方正小标宋简体"/>
          <w:b/>
          <w:bCs/>
          <w:color w:val="auto"/>
          <w:sz w:val="44"/>
          <w:szCs w:val="44"/>
          <w:lang w:val="en-US" w:eastAsia="zh-CN"/>
        </w:rPr>
        <w:t>国有资产监督管理局</w:t>
      </w:r>
    </w:p>
    <w:p w14:paraId="2A0914F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ascii="Times New Roman" w:hAnsi="Times New Roman" w:eastAsia="仿宋_GB2312"/>
          <w:color w:val="auto"/>
          <w:sz w:val="32"/>
          <w:szCs w:val="32"/>
          <w:shd w:val="clear" w:color="auto" w:fill="FFFFFF"/>
          <w:lang w:val="en-US" w:eastAsia="zh-CN"/>
        </w:rPr>
        <w:t>市中区国有资产监督管理局</w:t>
      </w:r>
      <w:r>
        <w:rPr>
          <w:rFonts w:hint="default" w:ascii="Times New Roman" w:hAnsi="Times New Roman" w:eastAsia="仿宋_GB2312" w:cs="Times New Roman"/>
          <w:color w:val="auto"/>
          <w:sz w:val="32"/>
          <w:szCs w:val="32"/>
          <w:shd w:val="clear" w:color="auto" w:fill="FFFFFF"/>
          <w:lang w:eastAsia="zh-CN"/>
        </w:rPr>
        <w:t>联系（地址</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ascii="Times New Roman" w:hAnsi="Times New Roman" w:eastAsia="仿宋_GB2312" w:cs="Times New Roman"/>
          <w:color w:val="auto"/>
          <w:sz w:val="32"/>
          <w:szCs w:val="32"/>
          <w:shd w:val="clear" w:color="auto" w:fill="FFFFFF"/>
          <w:lang w:val="en-US" w:eastAsia="zh-CN"/>
        </w:rPr>
        <w:t>文化西路118</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ascii="Times New Roman" w:hAnsi="Times New Roman" w:eastAsia="仿宋_GB2312" w:cs="Times New Roman"/>
          <w:color w:val="auto"/>
          <w:sz w:val="32"/>
          <w:szCs w:val="32"/>
          <w:shd w:val="clear" w:color="auto" w:fill="FFFFFF"/>
          <w:lang w:val="en-US" w:eastAsia="zh-CN"/>
        </w:rPr>
        <w:t>3180051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电子邮箱：szqgzj@163.com</w:t>
      </w:r>
      <w:r>
        <w:rPr>
          <w:rFonts w:hint="default" w:ascii="Times New Roman" w:hAnsi="Times New Roman" w:eastAsia="仿宋_GB2312" w:cs="Times New Roman"/>
          <w:color w:val="auto"/>
          <w:sz w:val="32"/>
          <w:szCs w:val="32"/>
          <w:shd w:val="clear" w:color="auto" w:fill="FFFFFF"/>
          <w:lang w:eastAsia="zh-CN"/>
        </w:rPr>
        <w:t>） 。</w:t>
      </w:r>
    </w:p>
    <w:p w14:paraId="257E7E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shd w:val="clear" w:color="auto" w:fill="FFFFFF"/>
          <w:lang w:eastAsia="zh-CN"/>
        </w:rPr>
      </w:pPr>
      <w:r>
        <w:rPr>
          <w:rFonts w:hint="eastAsia" w:ascii="Times New Roman" w:hAnsi="Times New Roman" w:eastAsia="黑体"/>
          <w:color w:val="auto"/>
          <w:sz w:val="32"/>
          <w:szCs w:val="32"/>
          <w:shd w:val="clear" w:color="auto" w:fill="FFFFFF"/>
          <w:lang w:val="en-US" w:eastAsia="zh-CN"/>
        </w:rPr>
        <w:t>一、</w:t>
      </w:r>
      <w:r>
        <w:rPr>
          <w:rFonts w:ascii="Times New Roman" w:hAnsi="Times New Roman" w:eastAsia="黑体"/>
          <w:color w:val="auto"/>
          <w:sz w:val="32"/>
          <w:szCs w:val="32"/>
          <w:shd w:val="clear" w:color="auto" w:fill="FFFFFF"/>
          <w:lang w:eastAsia="zh-CN"/>
        </w:rPr>
        <w:t>总体情况</w:t>
      </w:r>
    </w:p>
    <w:p w14:paraId="14B62FA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olor w:val="auto"/>
          <w:sz w:val="32"/>
          <w:szCs w:val="32"/>
          <w:shd w:val="clear" w:color="auto" w:fill="FFFFFF"/>
          <w:lang w:val="en-US" w:eastAsia="zh-CN"/>
        </w:rPr>
      </w:pPr>
      <w:r>
        <w:rPr>
          <w:rFonts w:hint="eastAsia" w:ascii="Times New Roman" w:hAnsi="Times New Roman" w:eastAsia="仿宋_GB2312"/>
          <w:color w:val="auto"/>
          <w:sz w:val="32"/>
          <w:szCs w:val="32"/>
          <w:shd w:val="clear" w:color="auto" w:fill="FFFFFF"/>
          <w:lang w:val="en-US" w:eastAsia="zh-CN"/>
        </w:rPr>
        <w:t>2025年，市中区国有资产监督管理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3EEF070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仿宋_GB2312" w:cs="仿宋_GB2312"/>
          <w:bCs/>
          <w:color w:val="C00000"/>
          <w:sz w:val="32"/>
          <w:szCs w:val="32"/>
          <w:lang w:val="en-US" w:eastAsia="zh-CN"/>
        </w:rPr>
      </w:pPr>
      <w:r>
        <w:rPr>
          <w:rFonts w:hint="eastAsia" w:ascii="Times New Roman" w:hAnsi="Times New Roman" w:eastAsia="黑体"/>
          <w:bCs/>
          <w:color w:val="auto"/>
          <w:sz w:val="32"/>
          <w:szCs w:val="32"/>
          <w:lang w:val="en-US" w:eastAsia="zh-CN"/>
        </w:rPr>
        <w:t>（一）</w:t>
      </w:r>
      <w:r>
        <w:rPr>
          <w:rFonts w:ascii="Times New Roman" w:hAnsi="Times New Roman" w:eastAsia="黑体"/>
          <w:bCs/>
          <w:color w:val="auto"/>
          <w:sz w:val="32"/>
          <w:szCs w:val="32"/>
          <w:lang w:eastAsia="zh-CN"/>
        </w:rPr>
        <w:t>主动公开</w:t>
      </w:r>
    </w:p>
    <w:p w14:paraId="6CEBE37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olor w:val="auto"/>
          <w:sz w:val="32"/>
          <w:szCs w:val="32"/>
          <w:shd w:val="clear" w:color="auto" w:fill="FFFFFF"/>
          <w:lang w:val="en-US" w:eastAsia="zh-CN"/>
        </w:rPr>
      </w:pPr>
      <w:r>
        <w:rPr>
          <w:rFonts w:hint="eastAsia" w:ascii="Times New Roman" w:hAnsi="Times New Roman" w:eastAsia="仿宋_GB2312"/>
          <w:color w:val="auto"/>
          <w:sz w:val="32"/>
          <w:szCs w:val="32"/>
          <w:shd w:val="clear" w:color="auto" w:fill="FFFFFF"/>
          <w:lang w:val="en-US" w:eastAsia="zh-CN"/>
        </w:rPr>
        <w:t>2025年，我局主动公开信息45条，其中在区政府门户网站公开45条。</w:t>
      </w:r>
    </w:p>
    <w:p w14:paraId="6F94B2B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ascii="Times New Roman" w:hAnsi="Times New Roman" w:eastAsia="黑体"/>
          <w:bCs/>
          <w:color w:val="auto"/>
          <w:sz w:val="32"/>
          <w:szCs w:val="32"/>
          <w:lang w:eastAsia="zh-CN"/>
        </w:rPr>
      </w:pPr>
      <w:r>
        <w:rPr>
          <w:rFonts w:hint="eastAsia" w:ascii="Times New Roman" w:hAnsi="Times New Roman" w:eastAsia="黑体"/>
          <w:bCs/>
          <w:color w:val="auto"/>
          <w:sz w:val="32"/>
          <w:szCs w:val="32"/>
          <w:lang w:val="en-US" w:eastAsia="zh-CN"/>
        </w:rPr>
        <w:t>（二）</w:t>
      </w:r>
      <w:r>
        <w:rPr>
          <w:rFonts w:ascii="Times New Roman" w:hAnsi="Times New Roman" w:eastAsia="黑体"/>
          <w:bCs/>
          <w:color w:val="auto"/>
          <w:sz w:val="32"/>
          <w:szCs w:val="32"/>
          <w:lang w:eastAsia="zh-CN"/>
        </w:rPr>
        <w:t>依申请公开</w:t>
      </w:r>
    </w:p>
    <w:p w14:paraId="35C86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收到和处理政府信息公开申请情况：</w:t>
      </w:r>
    </w:p>
    <w:p w14:paraId="5E875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年，市中区国有资产监督管理局未收到政府信息公开申请。</w:t>
      </w:r>
    </w:p>
    <w:p w14:paraId="35F92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收费和减免情况：</w:t>
      </w:r>
    </w:p>
    <w:p w14:paraId="534FE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年，市中区国有资产监督管理局无收费和减免情况。</w:t>
      </w:r>
    </w:p>
    <w:p w14:paraId="7C427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政府信息公开行政复议、行政诉讼情况：</w:t>
      </w:r>
    </w:p>
    <w:p w14:paraId="1E46E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shd w:val="clear" w:color="auto" w:fill="FFFFFF"/>
          <w:lang w:eastAsia="zh-CN"/>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年市中区国有资产监督管理局全年未发生因政府信息公开被行政复议、提起行政诉讼情况。</w:t>
      </w:r>
    </w:p>
    <w:p w14:paraId="530F07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color w:val="auto"/>
          <w:sz w:val="32"/>
          <w:szCs w:val="32"/>
          <w:lang w:eastAsia="zh-CN"/>
        </w:rPr>
      </w:pPr>
      <w:r>
        <w:rPr>
          <w:rFonts w:hint="eastAsia" w:ascii="Times New Roman" w:hAnsi="Times New Roman" w:eastAsia="黑体"/>
          <w:bCs/>
          <w:color w:val="auto"/>
          <w:sz w:val="32"/>
          <w:szCs w:val="32"/>
          <w:lang w:val="en-US" w:eastAsia="zh-CN"/>
        </w:rPr>
        <w:t>（三）</w:t>
      </w:r>
      <w:r>
        <w:rPr>
          <w:rFonts w:ascii="Times New Roman" w:hAnsi="Times New Roman" w:eastAsia="黑体"/>
          <w:bCs/>
          <w:color w:val="auto"/>
          <w:sz w:val="32"/>
          <w:szCs w:val="32"/>
          <w:lang w:eastAsia="zh-CN"/>
        </w:rPr>
        <w:t>政府信息管理</w:t>
      </w:r>
    </w:p>
    <w:p w14:paraId="17C6CD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仿宋_GB2312"/>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12B0DEE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仿宋_GB2312"/>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170A3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lang w:eastAsia="zh-CN" w:bidi="ar-SA"/>
          <w14:textFill>
            <w14:solidFill>
              <w14:schemeClr w14:val="tx1"/>
            </w14:solidFill>
          </w14:textFill>
        </w:rPr>
      </w:pPr>
      <w:r>
        <w:rPr>
          <w:rFonts w:hint="eastAsia" w:ascii="Times New Roman" w:hAnsi="Times New Roman" w:eastAsia="仿宋_GB2312"/>
          <w:color w:val="000000" w:themeColor="text1"/>
          <w:sz w:val="32"/>
          <w:szCs w:val="32"/>
          <w:shd w:val="clear" w:color="auto" w:fill="FFFFFF"/>
          <w:lang w:eastAsia="zh-CN"/>
          <w14:textFill>
            <w14:solidFill>
              <w14:schemeClr w14:val="tx1"/>
            </w14:solidFill>
          </w14:textFill>
        </w:rPr>
        <w:t>三是不断完善公开制度机制。202</w:t>
      </w:r>
      <w:r>
        <w:rPr>
          <w:rFonts w:hint="eastAsia" w:ascii="Times New Roman" w:hAnsi="Times New Roman" w:eastAsia="仿宋_GB2312"/>
          <w:color w:val="000000" w:themeColor="text1"/>
          <w:sz w:val="32"/>
          <w:szCs w:val="32"/>
          <w:shd w:val="clear" w:color="auto" w:fill="FFFFFF"/>
          <w:lang w:val="en-US" w:eastAsia="zh-CN"/>
          <w14:textFill>
            <w14:solidFill>
              <w14:schemeClr w14:val="tx1"/>
            </w14:solidFill>
          </w14:textFill>
        </w:rPr>
        <w:t>5</w:t>
      </w:r>
      <w:r>
        <w:rPr>
          <w:rFonts w:hint="eastAsia" w:ascii="Times New Roman" w:hAnsi="Times New Roman" w:eastAsia="仿宋_GB2312"/>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2469BB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color w:val="auto"/>
          <w:sz w:val="32"/>
          <w:szCs w:val="32"/>
          <w:lang w:eastAsia="zh-CN"/>
        </w:rPr>
      </w:pPr>
      <w:r>
        <w:rPr>
          <w:rFonts w:hint="eastAsia" w:ascii="Times New Roman" w:hAnsi="Times New Roman" w:eastAsia="黑体"/>
          <w:bCs/>
          <w:color w:val="auto"/>
          <w:sz w:val="32"/>
          <w:szCs w:val="32"/>
          <w:lang w:val="en-US" w:eastAsia="zh-CN"/>
        </w:rPr>
        <w:t>（四）政府信息公开</w:t>
      </w:r>
      <w:r>
        <w:rPr>
          <w:rFonts w:ascii="Times New Roman" w:hAnsi="Times New Roman" w:eastAsia="黑体"/>
          <w:bCs/>
          <w:color w:val="auto"/>
          <w:sz w:val="32"/>
          <w:szCs w:val="32"/>
          <w:lang w:eastAsia="zh-CN"/>
        </w:rPr>
        <w:t>平台建设</w:t>
      </w:r>
    </w:p>
    <w:p w14:paraId="4EC3C1C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lang w:eastAsia="zh-CN" w:bidi="ar-SA"/>
        </w:rPr>
      </w:pPr>
      <w:r>
        <w:rPr>
          <w:rFonts w:ascii="Times New Roman" w:hAnsi="Times New Roman" w:eastAsia="仿宋_GB2312"/>
          <w:color w:val="auto"/>
          <w:sz w:val="32"/>
          <w:szCs w:val="32"/>
          <w:shd w:val="clear" w:color="auto" w:fill="FFFFFF"/>
          <w:lang w:eastAsia="zh-CN"/>
        </w:rPr>
        <w:t>依托“</w:t>
      </w:r>
      <w:r>
        <w:rPr>
          <w:rFonts w:hint="eastAsia" w:ascii="Times New Roman" w:hAnsi="Times New Roman" w:eastAsia="仿宋_GB2312"/>
          <w:color w:val="auto"/>
          <w:sz w:val="32"/>
          <w:szCs w:val="32"/>
          <w:shd w:val="clear" w:color="auto" w:fill="FFFFFF"/>
          <w:lang w:val="en-US" w:eastAsia="zh-CN"/>
        </w:rPr>
        <w:t>枣庄市市中区人民政府</w:t>
      </w:r>
      <w:r>
        <w:rPr>
          <w:rFonts w:ascii="Times New Roman" w:hAnsi="Times New Roman" w:eastAsia="仿宋_GB2312"/>
          <w:color w:val="auto"/>
          <w:sz w:val="32"/>
          <w:szCs w:val="32"/>
          <w:shd w:val="clear" w:color="auto" w:fill="FFFFFF"/>
          <w:lang w:eastAsia="zh-CN"/>
        </w:rPr>
        <w:t>网站”</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lang w:val="en-US" w:eastAsia="zh-CN"/>
        </w:rPr>
        <w:t>政府信息公开专栏</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lang w:eastAsia="zh-CN"/>
        </w:rPr>
        <w:t>等平台发布信息，推动政务公开信息向不同群体精准推送，提升群众获取政府信息的便利度和幸福感。</w:t>
      </w:r>
    </w:p>
    <w:p w14:paraId="4001C25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eastAsia" w:ascii="Times New Roman" w:hAnsi="Times New Roman" w:eastAsia="黑体"/>
          <w:color w:val="auto"/>
          <w:sz w:val="32"/>
          <w:szCs w:val="32"/>
          <w:lang w:eastAsia="zh-CN" w:bidi="ar-SA"/>
        </w:rPr>
      </w:pPr>
      <w:r>
        <w:rPr>
          <w:rFonts w:hint="eastAsia" w:ascii="Times New Roman" w:hAnsi="Times New Roman" w:eastAsia="黑体"/>
          <w:color w:val="auto"/>
          <w:sz w:val="32"/>
          <w:szCs w:val="32"/>
          <w:lang w:val="en-US" w:eastAsia="zh-CN" w:bidi="ar-SA"/>
        </w:rPr>
        <w:t>（五）</w:t>
      </w:r>
      <w:r>
        <w:rPr>
          <w:rFonts w:ascii="Times New Roman" w:hAnsi="Times New Roman" w:eastAsia="黑体"/>
          <w:color w:val="auto"/>
          <w:sz w:val="32"/>
          <w:szCs w:val="32"/>
          <w:lang w:eastAsia="zh-CN" w:bidi="ar-SA"/>
        </w:rPr>
        <w:t>监督保障</w:t>
      </w:r>
    </w:p>
    <w:p w14:paraId="100E6004">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为进一步加强政府信息公开工作，按照“以公开为常态、不公开为例外”要求，区国资局成立了政务公开领导小组，领导小组成员名单如下：</w:t>
      </w:r>
    </w:p>
    <w:p w14:paraId="3453FCF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分管领导：</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吴海蛟</w:t>
      </w: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 xml:space="preserve"> 党委委员、</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副局长</w:t>
      </w:r>
    </w:p>
    <w:p w14:paraId="5072860B">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办理机构：区国资局综合股</w:t>
      </w:r>
    </w:p>
    <w:p w14:paraId="6B2B0B5E">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专职人员：王伟 综合股股长</w:t>
      </w:r>
    </w:p>
    <w:p w14:paraId="1A6CF0A0">
      <w:pPr>
        <w:pStyle w:val="7"/>
        <w:keepNext w:val="0"/>
        <w:keepLines w:val="0"/>
        <w:pageBreakBefore w:val="0"/>
        <w:numPr>
          <w:ilvl w:val="0"/>
          <w:numId w:val="1"/>
        </w:numPr>
        <w:kinsoku/>
        <w:wordWrap/>
        <w:overflowPunct/>
        <w:topLinePunct w:val="0"/>
        <w:autoSpaceDE/>
        <w:autoSpaceDN/>
        <w:bidi w:val="0"/>
        <w:adjustRightInd/>
        <w:snapToGrid/>
        <w:spacing w:line="560" w:lineRule="exact"/>
        <w:ind w:firstLine="580"/>
        <w:textAlignment w:val="auto"/>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主动公开政府信息情况</w:t>
      </w:r>
    </w:p>
    <w:tbl>
      <w:tblPr>
        <w:tblStyle w:val="4"/>
        <w:tblW w:w="8760" w:type="dxa"/>
        <w:tblInd w:w="0" w:type="dxa"/>
        <w:tblLayout w:type="fixed"/>
        <w:tblCellMar>
          <w:top w:w="0" w:type="dxa"/>
          <w:left w:w="108" w:type="dxa"/>
          <w:bottom w:w="0" w:type="dxa"/>
          <w:right w:w="108" w:type="dxa"/>
        </w:tblCellMar>
      </w:tblPr>
      <w:tblGrid>
        <w:gridCol w:w="2190"/>
        <w:gridCol w:w="2190"/>
        <w:gridCol w:w="2190"/>
        <w:gridCol w:w="2190"/>
      </w:tblGrid>
      <w:tr w14:paraId="6D779A71">
        <w:tblPrEx>
          <w:tblCellMar>
            <w:top w:w="0" w:type="dxa"/>
            <w:left w:w="108" w:type="dxa"/>
            <w:bottom w:w="0" w:type="dxa"/>
            <w:right w:w="108" w:type="dxa"/>
          </w:tblCellMar>
        </w:tblPrEx>
        <w:trPr>
          <w:trHeight w:val="541" w:hRule="atLeast"/>
        </w:trPr>
        <w:tc>
          <w:tcPr>
            <w:tcW w:w="87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292639">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8802CA7">
        <w:tblPrEx>
          <w:tblCellMar>
            <w:top w:w="0" w:type="dxa"/>
            <w:left w:w="108" w:type="dxa"/>
            <w:bottom w:w="0" w:type="dxa"/>
            <w:right w:w="108" w:type="dxa"/>
          </w:tblCellMar>
        </w:tblPrEx>
        <w:trPr>
          <w:trHeight w:val="541" w:hRule="atLeast"/>
        </w:trPr>
        <w:tc>
          <w:tcPr>
            <w:tcW w:w="2190" w:type="dxa"/>
            <w:tcBorders>
              <w:top w:val="nil"/>
              <w:left w:val="single" w:color="auto" w:sz="8" w:space="0"/>
              <w:bottom w:val="single" w:color="auto" w:sz="8" w:space="0"/>
              <w:right w:val="single" w:color="auto" w:sz="8" w:space="0"/>
            </w:tcBorders>
            <w:shd w:val="clear" w:color="auto" w:fill="auto"/>
            <w:vAlign w:val="center"/>
          </w:tcPr>
          <w:p w14:paraId="36E62E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190" w:type="dxa"/>
            <w:tcBorders>
              <w:top w:val="nil"/>
              <w:left w:val="nil"/>
              <w:bottom w:val="single" w:color="auto" w:sz="8" w:space="0"/>
              <w:right w:val="single" w:color="auto" w:sz="8" w:space="0"/>
            </w:tcBorders>
            <w:shd w:val="clear" w:color="auto" w:fill="auto"/>
            <w:vAlign w:val="center"/>
          </w:tcPr>
          <w:p w14:paraId="3E6685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190" w:type="dxa"/>
            <w:tcBorders>
              <w:top w:val="nil"/>
              <w:left w:val="nil"/>
              <w:bottom w:val="single" w:color="auto" w:sz="8" w:space="0"/>
              <w:right w:val="single" w:color="auto" w:sz="8" w:space="0"/>
            </w:tcBorders>
            <w:shd w:val="clear" w:color="auto" w:fill="auto"/>
            <w:vAlign w:val="center"/>
          </w:tcPr>
          <w:p w14:paraId="08E849E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190" w:type="dxa"/>
            <w:tcBorders>
              <w:top w:val="nil"/>
              <w:left w:val="nil"/>
              <w:bottom w:val="single" w:color="auto" w:sz="8" w:space="0"/>
              <w:right w:val="single" w:color="auto" w:sz="8" w:space="0"/>
            </w:tcBorders>
            <w:shd w:val="clear" w:color="auto" w:fill="auto"/>
            <w:vAlign w:val="center"/>
          </w:tcPr>
          <w:p w14:paraId="2AE2A54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7C853BDB">
        <w:tblPrEx>
          <w:tblCellMar>
            <w:top w:w="0" w:type="dxa"/>
            <w:left w:w="108" w:type="dxa"/>
            <w:bottom w:w="0" w:type="dxa"/>
            <w:right w:w="108" w:type="dxa"/>
          </w:tblCellMar>
        </w:tblPrEx>
        <w:trPr>
          <w:trHeight w:val="618" w:hRule="atLeast"/>
        </w:trPr>
        <w:tc>
          <w:tcPr>
            <w:tcW w:w="2190" w:type="dxa"/>
            <w:tcBorders>
              <w:top w:val="nil"/>
              <w:left w:val="single" w:color="auto" w:sz="8" w:space="0"/>
              <w:bottom w:val="single" w:color="auto" w:sz="8" w:space="0"/>
              <w:right w:val="single" w:color="auto" w:sz="8" w:space="0"/>
            </w:tcBorders>
            <w:shd w:val="clear" w:color="auto" w:fill="auto"/>
            <w:vAlign w:val="center"/>
          </w:tcPr>
          <w:p w14:paraId="4A26C64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190" w:type="dxa"/>
            <w:tcBorders>
              <w:top w:val="nil"/>
              <w:left w:val="nil"/>
              <w:bottom w:val="single" w:color="auto" w:sz="8" w:space="0"/>
              <w:right w:val="single" w:color="auto" w:sz="8" w:space="0"/>
            </w:tcBorders>
            <w:shd w:val="clear" w:color="auto" w:fill="auto"/>
            <w:vAlign w:val="center"/>
          </w:tcPr>
          <w:p w14:paraId="279F2C2E">
            <w:pPr>
              <w:widowControl/>
              <w:jc w:val="center"/>
              <w:rPr>
                <w:rFonts w:hint="default" w:ascii="Times New Roman" w:hAnsi="Times New Roman" w:eastAsia="仿宋_GB2312" w:cs="Times New Roman"/>
                <w:color w:val="000000"/>
                <w:kern w:val="0"/>
                <w:sz w:val="22"/>
                <w:szCs w:val="20"/>
                <w:lang w:eastAsia="zh-CN"/>
              </w:rPr>
            </w:pP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0</w:t>
            </w:r>
          </w:p>
        </w:tc>
        <w:tc>
          <w:tcPr>
            <w:tcW w:w="2190" w:type="dxa"/>
            <w:tcBorders>
              <w:top w:val="nil"/>
              <w:left w:val="nil"/>
              <w:bottom w:val="single" w:color="auto" w:sz="8" w:space="0"/>
              <w:right w:val="single" w:color="auto" w:sz="8" w:space="0"/>
            </w:tcBorders>
            <w:shd w:val="clear" w:color="auto" w:fill="auto"/>
            <w:vAlign w:val="center"/>
          </w:tcPr>
          <w:p w14:paraId="1A56DF90">
            <w:pPr>
              <w:widowControl/>
              <w:jc w:val="center"/>
              <w:rPr>
                <w:rFonts w:hint="default" w:ascii="Times New Roman" w:hAnsi="Times New Roman" w:eastAsia="仿宋_GB2312" w:cs="Times New Roman"/>
                <w:color w:val="000000"/>
                <w:kern w:val="0"/>
                <w:sz w:val="22"/>
                <w:szCs w:val="20"/>
              </w:rPr>
            </w:pPr>
            <w:r>
              <w:rPr>
                <w:rFonts w:hint="default" w:ascii="Times New Roman" w:hAnsi="Times New Roman" w:eastAsia="仿宋_GB2312" w:cs="Times New Roman"/>
                <w:bCs/>
                <w:color w:val="000000" w:themeColor="text1"/>
                <w:sz w:val="28"/>
                <w:szCs w:val="28"/>
                <w14:textFill>
                  <w14:solidFill>
                    <w14:schemeClr w14:val="tx1"/>
                  </w14:solidFill>
                </w14:textFill>
              </w:rPr>
              <w:t>0</w:t>
            </w:r>
          </w:p>
        </w:tc>
        <w:tc>
          <w:tcPr>
            <w:tcW w:w="2190" w:type="dxa"/>
            <w:tcBorders>
              <w:top w:val="nil"/>
              <w:left w:val="nil"/>
              <w:bottom w:val="single" w:color="auto" w:sz="8" w:space="0"/>
              <w:right w:val="single" w:color="auto" w:sz="8" w:space="0"/>
            </w:tcBorders>
            <w:shd w:val="clear" w:color="auto" w:fill="auto"/>
            <w:vAlign w:val="center"/>
          </w:tcPr>
          <w:p w14:paraId="5E5B2E89">
            <w:pPr>
              <w:widowControl/>
              <w:jc w:val="center"/>
              <w:rPr>
                <w:rFonts w:hint="default" w:ascii="Times New Roman" w:hAnsi="Times New Roman" w:eastAsia="仿宋_GB2312" w:cs="Times New Roman"/>
                <w:color w:val="000000"/>
                <w:kern w:val="0"/>
                <w:sz w:val="22"/>
                <w:szCs w:val="20"/>
              </w:rPr>
            </w:pPr>
            <w:r>
              <w:rPr>
                <w:rFonts w:hint="default" w:ascii="Times New Roman" w:hAnsi="Times New Roman" w:eastAsia="仿宋_GB2312" w:cs="Times New Roman"/>
                <w:bCs/>
                <w:color w:val="000000" w:themeColor="text1"/>
                <w:sz w:val="28"/>
                <w:szCs w:val="28"/>
                <w14:textFill>
                  <w14:solidFill>
                    <w14:schemeClr w14:val="tx1"/>
                  </w14:solidFill>
                </w14:textFill>
              </w:rPr>
              <w:t>0</w:t>
            </w:r>
          </w:p>
        </w:tc>
      </w:tr>
      <w:tr w14:paraId="29AB6FC2">
        <w:tblPrEx>
          <w:tblCellMar>
            <w:top w:w="0" w:type="dxa"/>
            <w:left w:w="108" w:type="dxa"/>
            <w:bottom w:w="0" w:type="dxa"/>
            <w:right w:w="108" w:type="dxa"/>
          </w:tblCellMar>
        </w:tblPrEx>
        <w:trPr>
          <w:trHeight w:val="618" w:hRule="atLeast"/>
        </w:trPr>
        <w:tc>
          <w:tcPr>
            <w:tcW w:w="2190" w:type="dxa"/>
            <w:tcBorders>
              <w:top w:val="nil"/>
              <w:left w:val="single" w:color="auto" w:sz="8" w:space="0"/>
              <w:bottom w:val="single" w:color="auto" w:sz="8" w:space="0"/>
              <w:right w:val="single" w:color="auto" w:sz="8" w:space="0"/>
            </w:tcBorders>
            <w:shd w:val="clear" w:color="auto" w:fill="auto"/>
            <w:vAlign w:val="center"/>
          </w:tcPr>
          <w:p w14:paraId="49E544C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190" w:type="dxa"/>
            <w:tcBorders>
              <w:top w:val="nil"/>
              <w:left w:val="nil"/>
              <w:bottom w:val="single" w:color="auto" w:sz="8" w:space="0"/>
              <w:right w:val="single" w:color="auto" w:sz="8" w:space="0"/>
            </w:tcBorders>
            <w:shd w:val="clear" w:color="auto" w:fill="auto"/>
            <w:vAlign w:val="center"/>
          </w:tcPr>
          <w:p w14:paraId="49FB8A08">
            <w:pPr>
              <w:widowControl/>
              <w:jc w:val="center"/>
              <w:rPr>
                <w:rFonts w:hint="default" w:ascii="Times New Roman" w:hAnsi="Times New Roman" w:eastAsia="仿宋_GB2312" w:cs="Times New Roman"/>
                <w:color w:val="000000"/>
                <w:kern w:val="0"/>
                <w:sz w:val="22"/>
                <w:szCs w:val="20"/>
              </w:rPr>
            </w:pPr>
            <w:r>
              <w:rPr>
                <w:rFonts w:hint="default" w:ascii="Times New Roman" w:hAnsi="Times New Roman" w:eastAsia="仿宋_GB2312" w:cs="Times New Roman"/>
                <w:bCs/>
                <w:color w:val="000000" w:themeColor="text1"/>
                <w:sz w:val="28"/>
                <w:szCs w:val="28"/>
                <w14:textFill>
                  <w14:solidFill>
                    <w14:schemeClr w14:val="tx1"/>
                  </w14:solidFill>
                </w14:textFill>
              </w:rPr>
              <w:t>0</w:t>
            </w:r>
          </w:p>
        </w:tc>
        <w:tc>
          <w:tcPr>
            <w:tcW w:w="2190" w:type="dxa"/>
            <w:tcBorders>
              <w:top w:val="nil"/>
              <w:left w:val="nil"/>
              <w:bottom w:val="single" w:color="auto" w:sz="8" w:space="0"/>
              <w:right w:val="single" w:color="auto" w:sz="8" w:space="0"/>
            </w:tcBorders>
            <w:shd w:val="clear" w:color="auto" w:fill="auto"/>
            <w:vAlign w:val="center"/>
          </w:tcPr>
          <w:p w14:paraId="68668C34">
            <w:pPr>
              <w:widowControl/>
              <w:jc w:val="center"/>
              <w:rPr>
                <w:rFonts w:hint="default" w:ascii="Times New Roman" w:hAnsi="Times New Roman" w:eastAsia="仿宋_GB2312" w:cs="Times New Roman"/>
                <w:color w:val="000000"/>
                <w:kern w:val="0"/>
                <w:sz w:val="22"/>
                <w:szCs w:val="20"/>
              </w:rPr>
            </w:pPr>
            <w:r>
              <w:rPr>
                <w:rFonts w:hint="default" w:ascii="Times New Roman" w:hAnsi="Times New Roman" w:eastAsia="仿宋_GB2312" w:cs="Times New Roman"/>
                <w:bCs/>
                <w:color w:val="000000" w:themeColor="text1"/>
                <w:sz w:val="28"/>
                <w:szCs w:val="28"/>
                <w14:textFill>
                  <w14:solidFill>
                    <w14:schemeClr w14:val="tx1"/>
                  </w14:solidFill>
                </w14:textFill>
              </w:rPr>
              <w:t>0</w:t>
            </w:r>
          </w:p>
        </w:tc>
        <w:tc>
          <w:tcPr>
            <w:tcW w:w="2190" w:type="dxa"/>
            <w:tcBorders>
              <w:top w:val="nil"/>
              <w:left w:val="nil"/>
              <w:bottom w:val="single" w:color="auto" w:sz="8" w:space="0"/>
              <w:right w:val="single" w:color="auto" w:sz="8" w:space="0"/>
            </w:tcBorders>
            <w:shd w:val="clear" w:color="auto" w:fill="auto"/>
            <w:vAlign w:val="center"/>
          </w:tcPr>
          <w:p w14:paraId="5ED32297">
            <w:pPr>
              <w:widowControl/>
              <w:jc w:val="center"/>
              <w:rPr>
                <w:rFonts w:hint="default" w:ascii="Times New Roman" w:hAnsi="Times New Roman" w:eastAsia="仿宋_GB2312" w:cs="Times New Roman"/>
                <w:color w:val="000000"/>
                <w:kern w:val="0"/>
                <w:sz w:val="22"/>
                <w:szCs w:val="20"/>
              </w:rPr>
            </w:pPr>
            <w:r>
              <w:rPr>
                <w:rFonts w:hint="default" w:ascii="Times New Roman" w:hAnsi="Times New Roman" w:eastAsia="仿宋_GB2312" w:cs="Times New Roman"/>
                <w:bCs/>
                <w:color w:val="000000" w:themeColor="text1"/>
                <w:sz w:val="28"/>
                <w:szCs w:val="28"/>
                <w14:textFill>
                  <w14:solidFill>
                    <w14:schemeClr w14:val="tx1"/>
                  </w14:solidFill>
                </w14:textFill>
              </w:rPr>
              <w:t>0</w:t>
            </w:r>
          </w:p>
        </w:tc>
      </w:tr>
      <w:tr w14:paraId="14BE9326">
        <w:tblPrEx>
          <w:tblCellMar>
            <w:top w:w="0" w:type="dxa"/>
            <w:left w:w="108" w:type="dxa"/>
            <w:bottom w:w="0" w:type="dxa"/>
            <w:right w:w="108" w:type="dxa"/>
          </w:tblCellMar>
        </w:tblPrEx>
        <w:trPr>
          <w:trHeight w:val="541" w:hRule="atLeast"/>
        </w:trPr>
        <w:tc>
          <w:tcPr>
            <w:tcW w:w="87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9A1C7D6">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第二十条第（五）项</w:t>
            </w:r>
          </w:p>
        </w:tc>
      </w:tr>
      <w:tr w14:paraId="2179099D">
        <w:tblPrEx>
          <w:tblCellMar>
            <w:top w:w="0" w:type="dxa"/>
            <w:left w:w="108" w:type="dxa"/>
            <w:bottom w:w="0" w:type="dxa"/>
            <w:right w:w="108" w:type="dxa"/>
          </w:tblCellMar>
        </w:tblPrEx>
        <w:trPr>
          <w:trHeight w:val="541" w:hRule="atLeast"/>
        </w:trPr>
        <w:tc>
          <w:tcPr>
            <w:tcW w:w="2190" w:type="dxa"/>
            <w:tcBorders>
              <w:top w:val="nil"/>
              <w:left w:val="single" w:color="auto" w:sz="8" w:space="0"/>
              <w:bottom w:val="single" w:color="auto" w:sz="8" w:space="0"/>
              <w:right w:val="single" w:color="auto" w:sz="8" w:space="0"/>
            </w:tcBorders>
            <w:shd w:val="clear" w:color="auto" w:fill="auto"/>
            <w:vAlign w:val="center"/>
          </w:tcPr>
          <w:p w14:paraId="76F5CB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570" w:type="dxa"/>
            <w:gridSpan w:val="3"/>
            <w:tcBorders>
              <w:top w:val="single" w:color="auto" w:sz="8" w:space="0"/>
              <w:left w:val="nil"/>
              <w:bottom w:val="single" w:color="auto" w:sz="8" w:space="0"/>
              <w:right w:val="single" w:color="000000" w:sz="8" w:space="0"/>
            </w:tcBorders>
            <w:shd w:val="clear" w:color="auto" w:fill="auto"/>
            <w:vAlign w:val="center"/>
          </w:tcPr>
          <w:p w14:paraId="146C0AC8">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6B871DF2">
        <w:tblPrEx>
          <w:tblCellMar>
            <w:top w:w="0" w:type="dxa"/>
            <w:left w:w="108" w:type="dxa"/>
            <w:bottom w:w="0" w:type="dxa"/>
            <w:right w:w="108" w:type="dxa"/>
          </w:tblCellMar>
        </w:tblPrEx>
        <w:trPr>
          <w:trHeight w:val="618" w:hRule="atLeast"/>
        </w:trPr>
        <w:tc>
          <w:tcPr>
            <w:tcW w:w="2190" w:type="dxa"/>
            <w:tcBorders>
              <w:top w:val="nil"/>
              <w:left w:val="single" w:color="auto" w:sz="8" w:space="0"/>
              <w:bottom w:val="single" w:color="auto" w:sz="8" w:space="0"/>
              <w:right w:val="single" w:color="auto" w:sz="8" w:space="0"/>
            </w:tcBorders>
            <w:shd w:val="clear" w:color="auto" w:fill="auto"/>
            <w:vAlign w:val="center"/>
          </w:tcPr>
          <w:p w14:paraId="7248F68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570" w:type="dxa"/>
            <w:gridSpan w:val="3"/>
            <w:tcBorders>
              <w:top w:val="single" w:color="auto" w:sz="8" w:space="0"/>
              <w:left w:val="nil"/>
              <w:bottom w:val="single" w:color="auto" w:sz="8" w:space="0"/>
              <w:right w:val="single" w:color="000000" w:sz="8" w:space="0"/>
            </w:tcBorders>
            <w:shd w:val="clear" w:color="auto" w:fill="auto"/>
            <w:vAlign w:val="center"/>
          </w:tcPr>
          <w:p w14:paraId="55D84B44">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bCs/>
                <w:color w:val="000000" w:themeColor="text1"/>
                <w:sz w:val="28"/>
                <w:szCs w:val="28"/>
                <w14:textFill>
                  <w14:solidFill>
                    <w14:schemeClr w14:val="tx1"/>
                  </w14:solidFill>
                </w14:textFill>
              </w:rPr>
              <w:t>0</w:t>
            </w:r>
          </w:p>
        </w:tc>
      </w:tr>
      <w:tr w14:paraId="080AAEE5">
        <w:tblPrEx>
          <w:tblCellMar>
            <w:top w:w="0" w:type="dxa"/>
            <w:left w:w="108" w:type="dxa"/>
            <w:bottom w:w="0" w:type="dxa"/>
            <w:right w:w="108" w:type="dxa"/>
          </w:tblCellMar>
        </w:tblPrEx>
        <w:trPr>
          <w:trHeight w:val="541" w:hRule="atLeast"/>
        </w:trPr>
        <w:tc>
          <w:tcPr>
            <w:tcW w:w="87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8D1ABFD">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第二十条第（六）项</w:t>
            </w:r>
          </w:p>
        </w:tc>
      </w:tr>
      <w:tr w14:paraId="3624496F">
        <w:tblPrEx>
          <w:tblCellMar>
            <w:top w:w="0" w:type="dxa"/>
            <w:left w:w="108" w:type="dxa"/>
            <w:bottom w:w="0" w:type="dxa"/>
            <w:right w:w="108" w:type="dxa"/>
          </w:tblCellMar>
        </w:tblPrEx>
        <w:trPr>
          <w:trHeight w:val="541" w:hRule="atLeast"/>
        </w:trPr>
        <w:tc>
          <w:tcPr>
            <w:tcW w:w="2190" w:type="dxa"/>
            <w:tcBorders>
              <w:top w:val="nil"/>
              <w:left w:val="single" w:color="auto" w:sz="8" w:space="0"/>
              <w:bottom w:val="single" w:color="auto" w:sz="8" w:space="0"/>
              <w:right w:val="single" w:color="auto" w:sz="8" w:space="0"/>
            </w:tcBorders>
            <w:shd w:val="clear" w:color="auto" w:fill="auto"/>
            <w:vAlign w:val="center"/>
          </w:tcPr>
          <w:p w14:paraId="52FF2A3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570" w:type="dxa"/>
            <w:gridSpan w:val="3"/>
            <w:tcBorders>
              <w:top w:val="single" w:color="auto" w:sz="8" w:space="0"/>
              <w:left w:val="nil"/>
              <w:bottom w:val="single" w:color="auto" w:sz="8" w:space="0"/>
              <w:right w:val="single" w:color="000000" w:sz="8" w:space="0"/>
            </w:tcBorders>
            <w:shd w:val="clear" w:color="auto" w:fill="auto"/>
            <w:vAlign w:val="center"/>
          </w:tcPr>
          <w:p w14:paraId="710BA2BD">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8E25DD9">
        <w:tblPrEx>
          <w:tblCellMar>
            <w:top w:w="0" w:type="dxa"/>
            <w:left w:w="108" w:type="dxa"/>
            <w:bottom w:w="0" w:type="dxa"/>
            <w:right w:w="108" w:type="dxa"/>
          </w:tblCellMar>
        </w:tblPrEx>
        <w:trPr>
          <w:trHeight w:val="618" w:hRule="atLeast"/>
        </w:trPr>
        <w:tc>
          <w:tcPr>
            <w:tcW w:w="2190" w:type="dxa"/>
            <w:tcBorders>
              <w:top w:val="nil"/>
              <w:left w:val="single" w:color="auto" w:sz="8" w:space="0"/>
              <w:bottom w:val="single" w:color="auto" w:sz="8" w:space="0"/>
              <w:right w:val="single" w:color="auto" w:sz="8" w:space="0"/>
            </w:tcBorders>
            <w:shd w:val="clear" w:color="auto" w:fill="auto"/>
            <w:vAlign w:val="center"/>
          </w:tcPr>
          <w:p w14:paraId="7C811A4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570" w:type="dxa"/>
            <w:gridSpan w:val="3"/>
            <w:tcBorders>
              <w:top w:val="single" w:color="auto" w:sz="8" w:space="0"/>
              <w:left w:val="nil"/>
              <w:bottom w:val="single" w:color="auto" w:sz="8" w:space="0"/>
              <w:right w:val="single" w:color="000000" w:sz="8" w:space="0"/>
            </w:tcBorders>
            <w:shd w:val="clear" w:color="auto" w:fill="auto"/>
            <w:vAlign w:val="center"/>
          </w:tcPr>
          <w:p w14:paraId="6ED6FE7F">
            <w:pPr>
              <w:widowControl/>
              <w:jc w:val="center"/>
              <w:rPr>
                <w:rFonts w:hint="default" w:ascii="Times New Roman" w:hAnsi="Times New Roman" w:eastAsia="仿宋_GB2312" w:cs="Times New Roman"/>
                <w:color w:val="000000"/>
                <w:kern w:val="0"/>
                <w:sz w:val="22"/>
                <w:szCs w:val="20"/>
              </w:rPr>
            </w:pPr>
            <w:r>
              <w:rPr>
                <w:rFonts w:hint="default" w:ascii="Times New Roman" w:hAnsi="Times New Roman" w:eastAsia="仿宋_GB2312" w:cs="Times New Roman"/>
                <w:bCs/>
                <w:color w:val="000000" w:themeColor="text1"/>
                <w:sz w:val="28"/>
                <w:szCs w:val="28"/>
                <w14:textFill>
                  <w14:solidFill>
                    <w14:schemeClr w14:val="tx1"/>
                  </w14:solidFill>
                </w14:textFill>
              </w:rPr>
              <w:t>0</w:t>
            </w:r>
          </w:p>
        </w:tc>
      </w:tr>
      <w:tr w14:paraId="5C85E08D">
        <w:tblPrEx>
          <w:tblCellMar>
            <w:top w:w="0" w:type="dxa"/>
            <w:left w:w="108" w:type="dxa"/>
            <w:bottom w:w="0" w:type="dxa"/>
            <w:right w:w="108" w:type="dxa"/>
          </w:tblCellMar>
        </w:tblPrEx>
        <w:trPr>
          <w:trHeight w:val="618" w:hRule="atLeast"/>
        </w:trPr>
        <w:tc>
          <w:tcPr>
            <w:tcW w:w="2190" w:type="dxa"/>
            <w:tcBorders>
              <w:top w:val="nil"/>
              <w:left w:val="single" w:color="auto" w:sz="8" w:space="0"/>
              <w:bottom w:val="single" w:color="auto" w:sz="8" w:space="0"/>
              <w:right w:val="single" w:color="auto" w:sz="8" w:space="0"/>
            </w:tcBorders>
            <w:shd w:val="clear" w:color="auto" w:fill="auto"/>
            <w:vAlign w:val="center"/>
          </w:tcPr>
          <w:p w14:paraId="56FD3B9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570" w:type="dxa"/>
            <w:gridSpan w:val="3"/>
            <w:tcBorders>
              <w:top w:val="single" w:color="auto" w:sz="8" w:space="0"/>
              <w:left w:val="nil"/>
              <w:bottom w:val="single" w:color="auto" w:sz="8" w:space="0"/>
              <w:right w:val="single" w:color="000000" w:sz="8" w:space="0"/>
            </w:tcBorders>
            <w:shd w:val="clear" w:color="auto" w:fill="auto"/>
            <w:vAlign w:val="center"/>
          </w:tcPr>
          <w:p w14:paraId="77E048D3">
            <w:pPr>
              <w:widowControl/>
              <w:jc w:val="center"/>
              <w:rPr>
                <w:rFonts w:hint="default" w:ascii="Times New Roman" w:hAnsi="Times New Roman" w:eastAsia="仿宋_GB2312" w:cs="Times New Roman"/>
                <w:color w:val="000000"/>
                <w:kern w:val="0"/>
                <w:sz w:val="22"/>
                <w:szCs w:val="20"/>
              </w:rPr>
            </w:pPr>
            <w:r>
              <w:rPr>
                <w:rFonts w:hint="default" w:ascii="Times New Roman" w:hAnsi="Times New Roman" w:eastAsia="仿宋_GB2312" w:cs="Times New Roman"/>
                <w:bCs/>
                <w:color w:val="000000" w:themeColor="text1"/>
                <w:sz w:val="28"/>
                <w:szCs w:val="28"/>
                <w14:textFill>
                  <w14:solidFill>
                    <w14:schemeClr w14:val="tx1"/>
                  </w14:solidFill>
                </w14:textFill>
              </w:rPr>
              <w:t>0</w:t>
            </w:r>
          </w:p>
        </w:tc>
      </w:tr>
      <w:tr w14:paraId="60AAF14F">
        <w:tblPrEx>
          <w:tblCellMar>
            <w:top w:w="0" w:type="dxa"/>
            <w:left w:w="108" w:type="dxa"/>
            <w:bottom w:w="0" w:type="dxa"/>
            <w:right w:w="108" w:type="dxa"/>
          </w:tblCellMar>
        </w:tblPrEx>
        <w:trPr>
          <w:trHeight w:val="541" w:hRule="atLeast"/>
        </w:trPr>
        <w:tc>
          <w:tcPr>
            <w:tcW w:w="87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348602">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第二十条第（八）项</w:t>
            </w:r>
          </w:p>
        </w:tc>
      </w:tr>
      <w:tr w14:paraId="370CF32C">
        <w:tblPrEx>
          <w:tblCellMar>
            <w:top w:w="0" w:type="dxa"/>
            <w:left w:w="108" w:type="dxa"/>
            <w:bottom w:w="0" w:type="dxa"/>
            <w:right w:w="108" w:type="dxa"/>
          </w:tblCellMar>
        </w:tblPrEx>
        <w:trPr>
          <w:trHeight w:val="541" w:hRule="atLeast"/>
        </w:trPr>
        <w:tc>
          <w:tcPr>
            <w:tcW w:w="2190" w:type="dxa"/>
            <w:tcBorders>
              <w:top w:val="nil"/>
              <w:left w:val="single" w:color="auto" w:sz="8" w:space="0"/>
              <w:bottom w:val="single" w:color="auto" w:sz="8" w:space="0"/>
              <w:right w:val="single" w:color="auto" w:sz="8" w:space="0"/>
            </w:tcBorders>
            <w:shd w:val="clear" w:color="auto" w:fill="auto"/>
            <w:vAlign w:val="center"/>
          </w:tcPr>
          <w:p w14:paraId="5A1F290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570" w:type="dxa"/>
            <w:gridSpan w:val="3"/>
            <w:tcBorders>
              <w:top w:val="single" w:color="auto" w:sz="8" w:space="0"/>
              <w:left w:val="nil"/>
              <w:bottom w:val="single" w:color="auto" w:sz="8" w:space="0"/>
              <w:right w:val="single" w:color="000000" w:sz="8" w:space="0"/>
            </w:tcBorders>
            <w:shd w:val="clear" w:color="auto" w:fill="auto"/>
            <w:vAlign w:val="center"/>
          </w:tcPr>
          <w:p w14:paraId="6EB46820">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27BAF735">
        <w:tblPrEx>
          <w:tblCellMar>
            <w:top w:w="0" w:type="dxa"/>
            <w:left w:w="108" w:type="dxa"/>
            <w:bottom w:w="0" w:type="dxa"/>
            <w:right w:w="108" w:type="dxa"/>
          </w:tblCellMar>
        </w:tblPrEx>
        <w:trPr>
          <w:trHeight w:val="637" w:hRule="atLeast"/>
        </w:trPr>
        <w:tc>
          <w:tcPr>
            <w:tcW w:w="2190" w:type="dxa"/>
            <w:tcBorders>
              <w:top w:val="nil"/>
              <w:left w:val="single" w:color="auto" w:sz="8" w:space="0"/>
              <w:bottom w:val="single" w:color="auto" w:sz="8" w:space="0"/>
              <w:right w:val="single" w:color="auto" w:sz="8" w:space="0"/>
            </w:tcBorders>
            <w:shd w:val="clear" w:color="auto" w:fill="auto"/>
            <w:vAlign w:val="center"/>
          </w:tcPr>
          <w:p w14:paraId="2EDCF6B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570" w:type="dxa"/>
            <w:gridSpan w:val="3"/>
            <w:tcBorders>
              <w:top w:val="single" w:color="auto" w:sz="8" w:space="0"/>
              <w:left w:val="nil"/>
              <w:bottom w:val="single" w:color="auto" w:sz="8" w:space="0"/>
              <w:right w:val="single" w:color="000000" w:sz="8" w:space="0"/>
            </w:tcBorders>
            <w:shd w:val="clear" w:color="auto" w:fill="auto"/>
            <w:vAlign w:val="center"/>
          </w:tcPr>
          <w:p w14:paraId="24281320">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bCs/>
                <w:color w:val="000000" w:themeColor="text1"/>
                <w:sz w:val="28"/>
                <w:szCs w:val="28"/>
                <w14:textFill>
                  <w14:solidFill>
                    <w14:schemeClr w14:val="tx1"/>
                  </w14:solidFill>
                </w14:textFill>
              </w:rPr>
              <w:t>0</w:t>
            </w:r>
          </w:p>
        </w:tc>
      </w:tr>
    </w:tbl>
    <w:p w14:paraId="33D27A4E">
      <w:pPr>
        <w:pStyle w:val="7"/>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黑体" w:cs="Times New Roman"/>
          <w:bCs/>
          <w:color w:val="auto"/>
          <w:sz w:val="32"/>
          <w:szCs w:val="32"/>
          <w:lang w:val="en-US" w:eastAsia="zh-CN"/>
        </w:rPr>
      </w:pPr>
    </w:p>
    <w:p w14:paraId="46714900">
      <w:pPr>
        <w:pStyle w:val="7"/>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黑体" w:cs="Times New Roman"/>
          <w:bCs/>
          <w:color w:val="auto"/>
          <w:sz w:val="32"/>
          <w:szCs w:val="32"/>
          <w:lang w:val="en-US" w:eastAsia="zh-CN"/>
        </w:rPr>
      </w:pPr>
    </w:p>
    <w:p w14:paraId="32056B00">
      <w:pPr>
        <w:pStyle w:val="7"/>
        <w:keepNext w:val="0"/>
        <w:keepLines w:val="0"/>
        <w:pageBreakBefore w:val="0"/>
        <w:kinsoku/>
        <w:wordWrap/>
        <w:overflowPunct/>
        <w:topLinePunct w:val="0"/>
        <w:autoSpaceDE/>
        <w:autoSpaceDN/>
        <w:bidi w:val="0"/>
        <w:adjustRightInd/>
        <w:snapToGrid/>
        <w:spacing w:line="560" w:lineRule="exact"/>
        <w:ind w:firstLine="600"/>
        <w:textAlignment w:val="auto"/>
        <w:rPr>
          <w:rFonts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val="en-US" w:eastAsia="zh-CN"/>
        </w:rPr>
        <w:t>三、</w:t>
      </w:r>
      <w:r>
        <w:rPr>
          <w:rFonts w:ascii="Times New Roman" w:hAnsi="Times New Roman" w:eastAsia="黑体" w:cs="Times New Roman"/>
          <w:bCs/>
          <w:color w:val="auto"/>
          <w:sz w:val="32"/>
          <w:szCs w:val="32"/>
        </w:rPr>
        <w:t>收到和处理政府信息公开申请情况</w:t>
      </w:r>
    </w:p>
    <w:tbl>
      <w:tblPr>
        <w:tblStyle w:val="4"/>
        <w:tblW w:w="95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62"/>
        <w:gridCol w:w="1091"/>
        <w:gridCol w:w="2671"/>
        <w:gridCol w:w="752"/>
        <w:gridCol w:w="687"/>
        <w:gridCol w:w="687"/>
        <w:gridCol w:w="892"/>
        <w:gridCol w:w="731"/>
        <w:gridCol w:w="499"/>
        <w:gridCol w:w="496"/>
      </w:tblGrid>
      <w:tr w14:paraId="02B6B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671" w:type="dxa"/>
            <w:gridSpan w:val="3"/>
            <w:vMerge w:val="restart"/>
            <w:shd w:val="clear" w:color="auto" w:fill="auto"/>
            <w:tcMar>
              <w:left w:w="108" w:type="dxa"/>
              <w:right w:w="108" w:type="dxa"/>
            </w:tcMar>
            <w:vAlign w:val="center"/>
          </w:tcPr>
          <w:p w14:paraId="626AC011">
            <w:pPr>
              <w:widowControl/>
              <w:snapToGrid w:val="0"/>
              <w:ind w:left="0" w:leftChars="0" w:right="0" w:rightChars="0" w:firstLine="0" w:firstLineChars="0"/>
              <w:jc w:val="center"/>
              <w:rPr>
                <w:rFonts w:ascii="黑体" w:hAnsi="Times New Roman" w:eastAsia="黑体" w:cs="Times New Roman"/>
                <w:b/>
                <w:kern w:val="2"/>
                <w:sz w:val="21"/>
                <w:szCs w:val="21"/>
                <w:lang w:eastAsia="zh-CN" w:bidi="ar-SA"/>
              </w:rPr>
            </w:pPr>
            <w:r>
              <w:rPr>
                <w:rFonts w:hint="eastAsia" w:ascii="黑体" w:hAnsi="黑体"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58CB32BC">
            <w:pPr>
              <w:widowControl/>
              <w:snapToGrid w:val="0"/>
              <w:spacing w:line="240" w:lineRule="auto"/>
              <w:ind w:left="0" w:leftChars="0" w:right="0" w:rightChars="0" w:firstLine="0" w:firstLineChars="0"/>
              <w:jc w:val="center"/>
              <w:rPr>
                <w:rFonts w:ascii="黑体" w:hAnsi="黑体" w:eastAsia="黑体" w:cs="Times New Roman"/>
                <w:b/>
                <w:kern w:val="2"/>
                <w:sz w:val="21"/>
                <w:szCs w:val="21"/>
                <w:lang w:eastAsia="zh-CN" w:bidi="ar-SA"/>
              </w:rPr>
            </w:pPr>
            <w:r>
              <w:rPr>
                <w:rFonts w:hint="eastAsia" w:ascii="黑体" w:hAnsi="黑体" w:eastAsia="黑体" w:cs="Times New Roman"/>
                <w:b/>
                <w:kern w:val="0"/>
                <w:sz w:val="21"/>
                <w:szCs w:val="21"/>
                <w:lang w:eastAsia="zh-CN" w:bidi="ar-SA"/>
              </w:rPr>
              <w:t>申请人情况</w:t>
            </w:r>
          </w:p>
        </w:tc>
      </w:tr>
      <w:tr w14:paraId="73FDE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671" w:type="dxa"/>
            <w:gridSpan w:val="3"/>
            <w:vMerge w:val="continue"/>
            <w:shd w:val="clear" w:color="auto" w:fill="auto"/>
            <w:tcMar>
              <w:left w:w="108" w:type="dxa"/>
              <w:right w:w="108" w:type="dxa"/>
            </w:tcMar>
            <w:vAlign w:val="center"/>
          </w:tcPr>
          <w:p w14:paraId="6DF9F452">
            <w:pPr>
              <w:snapToGrid w:val="0"/>
              <w:ind w:left="0" w:leftChars="0" w:right="0" w:rightChars="0" w:firstLine="0" w:firstLineChars="0"/>
              <w:jc w:val="center"/>
              <w:rPr>
                <w:rFonts w:ascii="黑体"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1D8D1BE7">
            <w:pPr>
              <w:widowControl/>
              <w:snapToGrid w:val="0"/>
              <w:ind w:left="0" w:leftChars="0" w:right="0" w:rightChars="0" w:firstLine="0" w:firstLineChars="0"/>
              <w:jc w:val="center"/>
              <w:rPr>
                <w:rFonts w:ascii="黑体" w:hAnsi="黑体" w:eastAsia="黑体" w:cs="Times New Roman"/>
                <w:b/>
                <w:kern w:val="2"/>
                <w:sz w:val="21"/>
                <w:szCs w:val="21"/>
                <w:lang w:eastAsia="zh-CN" w:bidi="ar-SA"/>
              </w:rPr>
            </w:pPr>
            <w:r>
              <w:rPr>
                <w:rFonts w:hint="eastAsia" w:ascii="黑体" w:hAnsi="黑体" w:eastAsia="黑体" w:cs="Times New Roman"/>
                <w:b/>
                <w:kern w:val="0"/>
                <w:sz w:val="21"/>
                <w:szCs w:val="21"/>
                <w:lang w:eastAsia="zh-CN" w:bidi="ar-SA"/>
              </w:rPr>
              <w:t>自然人</w:t>
            </w:r>
          </w:p>
        </w:tc>
        <w:tc>
          <w:tcPr>
            <w:tcW w:w="499" w:type="dxa"/>
            <w:gridSpan w:val="5"/>
            <w:shd w:val="clear" w:color="auto" w:fill="auto"/>
            <w:tcMar>
              <w:left w:w="108" w:type="dxa"/>
              <w:right w:w="108" w:type="dxa"/>
            </w:tcMar>
            <w:vAlign w:val="center"/>
          </w:tcPr>
          <w:p w14:paraId="541CBD35">
            <w:pPr>
              <w:widowControl/>
              <w:snapToGrid w:val="0"/>
              <w:spacing w:line="240" w:lineRule="auto"/>
              <w:ind w:left="0" w:leftChars="0" w:right="0" w:rightChars="0" w:firstLine="0" w:firstLineChars="0"/>
              <w:jc w:val="center"/>
              <w:rPr>
                <w:rFonts w:ascii="黑体" w:hAnsi="黑体" w:eastAsia="黑体" w:cs="Times New Roman"/>
                <w:b/>
                <w:kern w:val="2"/>
                <w:sz w:val="21"/>
                <w:szCs w:val="21"/>
                <w:lang w:eastAsia="zh-CN" w:bidi="ar-SA"/>
              </w:rPr>
            </w:pPr>
            <w:r>
              <w:rPr>
                <w:rFonts w:hint="eastAsia" w:ascii="黑体" w:hAnsi="黑体" w:eastAsia="黑体" w:cs="Times New Roman"/>
                <w:b/>
                <w:kern w:val="0"/>
                <w:sz w:val="21"/>
                <w:szCs w:val="21"/>
                <w:lang w:eastAsia="zh-CN" w:bidi="ar-SA"/>
              </w:rPr>
              <w:t>法人或其他组织</w:t>
            </w:r>
          </w:p>
        </w:tc>
        <w:tc>
          <w:tcPr>
            <w:tcW w:w="496" w:type="dxa"/>
            <w:vMerge w:val="restart"/>
            <w:shd w:val="clear" w:color="auto" w:fill="auto"/>
            <w:tcMar>
              <w:left w:w="108" w:type="dxa"/>
              <w:right w:w="108" w:type="dxa"/>
            </w:tcMar>
            <w:vAlign w:val="center"/>
          </w:tcPr>
          <w:p w14:paraId="43498B9D">
            <w:pPr>
              <w:widowControl/>
              <w:snapToGrid w:val="0"/>
              <w:ind w:left="0" w:leftChars="0" w:right="0" w:rightChars="0" w:firstLine="0" w:firstLineChars="0"/>
              <w:jc w:val="center"/>
              <w:rPr>
                <w:rFonts w:ascii="黑体" w:hAnsi="黑体" w:eastAsia="黑体" w:cs="Times New Roman"/>
                <w:b/>
                <w:kern w:val="2"/>
                <w:sz w:val="21"/>
                <w:szCs w:val="21"/>
                <w:lang w:eastAsia="zh-CN" w:bidi="ar-SA"/>
              </w:rPr>
            </w:pPr>
            <w:r>
              <w:rPr>
                <w:rFonts w:hint="eastAsia" w:ascii="黑体" w:hAnsi="黑体" w:eastAsia="黑体" w:cs="Times New Roman"/>
                <w:b/>
                <w:kern w:val="0"/>
                <w:sz w:val="21"/>
                <w:szCs w:val="21"/>
                <w:lang w:eastAsia="zh-CN" w:bidi="ar-SA"/>
              </w:rPr>
              <w:t>总计</w:t>
            </w:r>
          </w:p>
        </w:tc>
      </w:tr>
      <w:tr w14:paraId="066D2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671" w:type="dxa"/>
            <w:gridSpan w:val="3"/>
            <w:vMerge w:val="continue"/>
            <w:shd w:val="clear" w:color="auto" w:fill="auto"/>
            <w:tcMar>
              <w:left w:w="108" w:type="dxa"/>
              <w:right w:w="108" w:type="dxa"/>
            </w:tcMar>
            <w:vAlign w:val="center"/>
          </w:tcPr>
          <w:p w14:paraId="5D606368">
            <w:pPr>
              <w:snapToGrid w:val="0"/>
              <w:ind w:left="0" w:leftChars="0" w:right="0" w:rightChars="0" w:firstLine="0" w:firstLineChars="0"/>
              <w:jc w:val="center"/>
              <w:rPr>
                <w:rFonts w:ascii="黑体"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0881BC02">
            <w:pPr>
              <w:snapToGrid w:val="0"/>
              <w:ind w:left="0" w:leftChars="0" w:right="0" w:rightChars="0" w:firstLine="0" w:firstLineChars="0"/>
              <w:jc w:val="center"/>
              <w:rPr>
                <w:rFonts w:ascii="黑体" w:hAnsi="黑体" w:eastAsia="黑体" w:cs="Times New Roman"/>
                <w:b/>
                <w:kern w:val="2"/>
                <w:sz w:val="21"/>
                <w:szCs w:val="21"/>
                <w:lang w:eastAsia="zh-CN" w:bidi="ar-SA"/>
              </w:rPr>
            </w:pPr>
          </w:p>
        </w:tc>
        <w:tc>
          <w:tcPr>
            <w:tcW w:w="687" w:type="dxa"/>
            <w:shd w:val="clear" w:color="auto" w:fill="auto"/>
            <w:tcMar>
              <w:left w:w="108" w:type="dxa"/>
              <w:right w:w="108" w:type="dxa"/>
            </w:tcMar>
            <w:vAlign w:val="center"/>
          </w:tcPr>
          <w:p w14:paraId="1FAB2045">
            <w:pPr>
              <w:widowControl/>
              <w:snapToGrid w:val="0"/>
              <w:spacing w:line="240" w:lineRule="auto"/>
              <w:ind w:left="0" w:leftChars="0" w:right="0" w:rightChars="0" w:firstLine="0" w:firstLineChars="0"/>
              <w:jc w:val="center"/>
              <w:rPr>
                <w:rFonts w:ascii="黑体" w:hAnsi="黑体" w:eastAsia="黑体" w:cs="Times New Roman"/>
                <w:b/>
                <w:kern w:val="2"/>
                <w:sz w:val="21"/>
                <w:szCs w:val="21"/>
                <w:lang w:eastAsia="zh-CN" w:bidi="ar-SA"/>
              </w:rPr>
            </w:pPr>
            <w:r>
              <w:rPr>
                <w:rFonts w:hint="eastAsia" w:ascii="黑体" w:hAnsi="黑体" w:eastAsia="黑体" w:cs="Times New Roman"/>
                <w:b/>
                <w:kern w:val="0"/>
                <w:sz w:val="21"/>
                <w:szCs w:val="21"/>
                <w:lang w:eastAsia="zh-CN" w:bidi="ar-SA"/>
              </w:rPr>
              <w:t>商业企业</w:t>
            </w:r>
          </w:p>
        </w:tc>
        <w:tc>
          <w:tcPr>
            <w:tcW w:w="687" w:type="dxa"/>
            <w:shd w:val="clear" w:color="auto" w:fill="auto"/>
            <w:tcMar>
              <w:left w:w="108" w:type="dxa"/>
              <w:right w:w="108" w:type="dxa"/>
            </w:tcMar>
            <w:vAlign w:val="center"/>
          </w:tcPr>
          <w:p w14:paraId="66BE240D">
            <w:pPr>
              <w:widowControl/>
              <w:snapToGrid w:val="0"/>
              <w:spacing w:line="240" w:lineRule="auto"/>
              <w:ind w:left="0" w:leftChars="0" w:right="0" w:rightChars="0" w:firstLine="0" w:firstLineChars="0"/>
              <w:jc w:val="center"/>
              <w:rPr>
                <w:rFonts w:ascii="黑体" w:hAnsi="黑体" w:eastAsia="黑体" w:cs="Times New Roman"/>
                <w:b/>
                <w:kern w:val="2"/>
                <w:sz w:val="21"/>
                <w:szCs w:val="21"/>
                <w:lang w:eastAsia="zh-CN" w:bidi="ar-SA"/>
              </w:rPr>
            </w:pPr>
            <w:r>
              <w:rPr>
                <w:rFonts w:hint="eastAsia" w:ascii="黑体" w:hAnsi="黑体" w:eastAsia="黑体" w:cs="Times New Roman"/>
                <w:b/>
                <w:kern w:val="0"/>
                <w:sz w:val="21"/>
                <w:szCs w:val="21"/>
                <w:lang w:eastAsia="zh-CN" w:bidi="ar-SA"/>
              </w:rPr>
              <w:t>科研机构</w:t>
            </w:r>
          </w:p>
        </w:tc>
        <w:tc>
          <w:tcPr>
            <w:tcW w:w="892" w:type="dxa"/>
            <w:shd w:val="clear" w:color="auto" w:fill="auto"/>
            <w:tcMar>
              <w:left w:w="108" w:type="dxa"/>
              <w:right w:w="108" w:type="dxa"/>
            </w:tcMar>
            <w:vAlign w:val="center"/>
          </w:tcPr>
          <w:p w14:paraId="52131CD2">
            <w:pPr>
              <w:widowControl/>
              <w:snapToGrid w:val="0"/>
              <w:spacing w:line="240" w:lineRule="auto"/>
              <w:ind w:left="0" w:leftChars="0" w:right="0" w:rightChars="0" w:firstLine="0" w:firstLineChars="0"/>
              <w:jc w:val="center"/>
              <w:rPr>
                <w:rFonts w:ascii="黑体" w:hAnsi="黑体" w:eastAsia="黑体" w:cs="Times New Roman"/>
                <w:b/>
                <w:kern w:val="2"/>
                <w:sz w:val="21"/>
                <w:szCs w:val="21"/>
                <w:lang w:eastAsia="zh-CN" w:bidi="ar-SA"/>
              </w:rPr>
            </w:pPr>
            <w:r>
              <w:rPr>
                <w:rFonts w:hint="eastAsia" w:ascii="黑体" w:hAnsi="黑体" w:eastAsia="黑体" w:cs="Times New Roman"/>
                <w:b/>
                <w:kern w:val="0"/>
                <w:sz w:val="21"/>
                <w:szCs w:val="21"/>
                <w:lang w:eastAsia="zh-CN" w:bidi="ar-SA"/>
              </w:rPr>
              <w:t>社会公益组织</w:t>
            </w:r>
          </w:p>
        </w:tc>
        <w:tc>
          <w:tcPr>
            <w:tcW w:w="731" w:type="dxa"/>
            <w:shd w:val="clear" w:color="auto" w:fill="auto"/>
            <w:tcMar>
              <w:left w:w="108" w:type="dxa"/>
              <w:right w:w="108" w:type="dxa"/>
            </w:tcMar>
            <w:vAlign w:val="center"/>
          </w:tcPr>
          <w:p w14:paraId="4C54D204">
            <w:pPr>
              <w:widowControl/>
              <w:snapToGrid w:val="0"/>
              <w:spacing w:line="240" w:lineRule="auto"/>
              <w:ind w:left="0" w:leftChars="0" w:right="0" w:rightChars="0" w:firstLine="0" w:firstLineChars="0"/>
              <w:jc w:val="center"/>
              <w:rPr>
                <w:rFonts w:ascii="黑体" w:hAnsi="黑体" w:eastAsia="黑体" w:cs="Times New Roman"/>
                <w:b/>
                <w:kern w:val="2"/>
                <w:sz w:val="21"/>
                <w:szCs w:val="21"/>
                <w:lang w:eastAsia="zh-CN" w:bidi="ar-SA"/>
              </w:rPr>
            </w:pPr>
            <w:r>
              <w:rPr>
                <w:rFonts w:hint="eastAsia" w:ascii="黑体" w:hAnsi="黑体" w:eastAsia="黑体" w:cs="Times New Roman"/>
                <w:b/>
                <w:kern w:val="0"/>
                <w:sz w:val="21"/>
                <w:szCs w:val="21"/>
                <w:lang w:eastAsia="zh-CN" w:bidi="ar-SA"/>
              </w:rPr>
              <w:t>法律服务机构</w:t>
            </w:r>
          </w:p>
        </w:tc>
        <w:tc>
          <w:tcPr>
            <w:tcW w:w="499" w:type="dxa"/>
            <w:shd w:val="clear" w:color="auto" w:fill="auto"/>
            <w:tcMar>
              <w:left w:w="108" w:type="dxa"/>
              <w:right w:w="108" w:type="dxa"/>
            </w:tcMar>
            <w:vAlign w:val="center"/>
          </w:tcPr>
          <w:p w14:paraId="2B18CA71">
            <w:pPr>
              <w:widowControl/>
              <w:snapToGrid w:val="0"/>
              <w:spacing w:line="240" w:lineRule="auto"/>
              <w:ind w:left="0" w:leftChars="0" w:right="0" w:rightChars="0" w:firstLine="0" w:firstLineChars="0"/>
              <w:jc w:val="center"/>
              <w:rPr>
                <w:rFonts w:ascii="黑体" w:hAnsi="黑体" w:eastAsia="黑体" w:cs="Times New Roman"/>
                <w:b/>
                <w:kern w:val="2"/>
                <w:sz w:val="21"/>
                <w:szCs w:val="21"/>
                <w:lang w:eastAsia="zh-CN" w:bidi="ar-SA"/>
              </w:rPr>
            </w:pPr>
            <w:r>
              <w:rPr>
                <w:rFonts w:hint="eastAsia" w:ascii="黑体" w:hAnsi="黑体" w:eastAsia="黑体" w:cs="Times New Roman"/>
                <w:b/>
                <w:kern w:val="0"/>
                <w:sz w:val="21"/>
                <w:szCs w:val="21"/>
                <w:lang w:eastAsia="zh-CN" w:bidi="ar-SA"/>
              </w:rPr>
              <w:t>其他</w:t>
            </w:r>
          </w:p>
        </w:tc>
        <w:tc>
          <w:tcPr>
            <w:tcW w:w="496" w:type="dxa"/>
            <w:vMerge w:val="continue"/>
            <w:shd w:val="clear" w:color="auto" w:fill="auto"/>
            <w:tcMar>
              <w:left w:w="108" w:type="dxa"/>
              <w:right w:w="108" w:type="dxa"/>
            </w:tcMar>
            <w:vAlign w:val="center"/>
          </w:tcPr>
          <w:p w14:paraId="2CF332C9">
            <w:pPr>
              <w:snapToGrid w:val="0"/>
              <w:ind w:left="0" w:leftChars="0" w:right="0" w:rightChars="0" w:firstLine="0" w:firstLineChars="0"/>
              <w:jc w:val="center"/>
              <w:rPr>
                <w:rFonts w:ascii="黑体" w:hAnsi="Times New Roman" w:eastAsia="黑体" w:cs="Times New Roman"/>
                <w:b/>
                <w:kern w:val="2"/>
                <w:sz w:val="21"/>
                <w:szCs w:val="21"/>
                <w:lang w:eastAsia="zh-CN" w:bidi="ar-SA"/>
              </w:rPr>
            </w:pPr>
          </w:p>
        </w:tc>
      </w:tr>
      <w:tr w14:paraId="4EAA4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1" w:type="dxa"/>
            <w:gridSpan w:val="3"/>
            <w:shd w:val="clear" w:color="auto" w:fill="auto"/>
            <w:tcMar>
              <w:left w:w="108" w:type="dxa"/>
              <w:right w:w="108" w:type="dxa"/>
            </w:tcMar>
            <w:vAlign w:val="center"/>
          </w:tcPr>
          <w:p w14:paraId="49F890A3">
            <w:pPr>
              <w:widowControl/>
              <w:snapToGrid w:val="0"/>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一、</w:t>
            </w:r>
            <w:bookmarkStart w:id="0" w:name="_Hlk66973412"/>
            <w:r>
              <w:rPr>
                <w:rFonts w:hint="eastAsia" w:ascii="仿宋_GB2312" w:hAnsi="黑体"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026E09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0BC9CE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kern w:val="2"/>
                <w:sz w:val="21"/>
                <w:szCs w:val="21"/>
                <w:lang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44861B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6E2B90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663A54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1A4F35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438254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kern w:val="2"/>
                <w:sz w:val="21"/>
                <w:szCs w:val="21"/>
                <w:lang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7B94C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1" w:type="dxa"/>
            <w:gridSpan w:val="3"/>
            <w:shd w:val="clear" w:color="auto" w:fill="auto"/>
            <w:tcMar>
              <w:left w:w="108" w:type="dxa"/>
              <w:right w:w="108" w:type="dxa"/>
            </w:tcMar>
            <w:vAlign w:val="center"/>
          </w:tcPr>
          <w:p w14:paraId="6D80B1A2">
            <w:pPr>
              <w:widowControl/>
              <w:snapToGrid w:val="0"/>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7C5FF9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623B8F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0EE4C4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3525A0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19A8AD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7C2DCA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2836E7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3A0A8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restart"/>
            <w:shd w:val="clear" w:color="auto" w:fill="auto"/>
            <w:tcMar>
              <w:left w:w="108" w:type="dxa"/>
              <w:right w:w="108" w:type="dxa"/>
            </w:tcMar>
            <w:vAlign w:val="center"/>
          </w:tcPr>
          <w:p w14:paraId="044052EA">
            <w:pPr>
              <w:widowControl/>
              <w:snapToGrid w:val="0"/>
              <w:spacing w:after="180"/>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三、本年度办理结果</w:t>
            </w:r>
          </w:p>
        </w:tc>
        <w:tc>
          <w:tcPr>
            <w:tcW w:w="2671" w:type="dxa"/>
            <w:gridSpan w:val="2"/>
            <w:shd w:val="clear" w:color="auto" w:fill="auto"/>
            <w:tcMar>
              <w:left w:w="108" w:type="dxa"/>
              <w:right w:w="108" w:type="dxa"/>
            </w:tcMar>
            <w:vAlign w:val="center"/>
          </w:tcPr>
          <w:p w14:paraId="430231A3">
            <w:pPr>
              <w:widowControl/>
              <w:snapToGrid w:val="0"/>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453804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3B0CB6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0BFEFB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38A3BC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3D9DBE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5D1E99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6E532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08106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1171960A">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gridSpan w:val="2"/>
            <w:shd w:val="clear" w:color="auto" w:fill="auto"/>
            <w:tcMar>
              <w:left w:w="108" w:type="dxa"/>
              <w:right w:w="108" w:type="dxa"/>
            </w:tcMar>
            <w:vAlign w:val="center"/>
          </w:tcPr>
          <w:p w14:paraId="14BA20D4">
            <w:pPr>
              <w:widowControl/>
              <w:snapToGrid w:val="0"/>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（二）部分公开（</w:t>
            </w:r>
            <w:bookmarkStart w:id="1" w:name="_Hlk66973981"/>
            <w:r>
              <w:rPr>
                <w:rFonts w:hint="eastAsia" w:ascii="仿宋_GB2312" w:hAnsi="黑体" w:eastAsia="仿宋_GB2312" w:cs="Times New Roman"/>
                <w:kern w:val="0"/>
                <w:sz w:val="21"/>
                <w:szCs w:val="21"/>
                <w:lang w:eastAsia="zh-CN" w:bidi="ar-SA"/>
              </w:rPr>
              <w:t>区分处理的，只计这一情形，不计其他情形</w:t>
            </w:r>
            <w:bookmarkEnd w:id="1"/>
            <w:r>
              <w:rPr>
                <w:rFonts w:hint="eastAsia" w:ascii="仿宋_GB2312" w:hAnsi="黑体"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39C7D2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BA9FC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32C2AD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4222BB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2786B1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3D6D30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7EBCDB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37012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68ACE64D">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restart"/>
            <w:shd w:val="clear" w:color="auto" w:fill="auto"/>
            <w:tcMar>
              <w:left w:w="108" w:type="dxa"/>
              <w:right w:w="108" w:type="dxa"/>
            </w:tcMar>
            <w:vAlign w:val="center"/>
          </w:tcPr>
          <w:p w14:paraId="4855C1FE">
            <w:pPr>
              <w:widowControl/>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（三）不予公开</w:t>
            </w:r>
          </w:p>
        </w:tc>
        <w:tc>
          <w:tcPr>
            <w:tcW w:w="2671" w:type="dxa"/>
            <w:shd w:val="clear" w:color="auto" w:fill="auto"/>
            <w:tcMar>
              <w:left w:w="108" w:type="dxa"/>
              <w:right w:w="108" w:type="dxa"/>
            </w:tcMar>
            <w:vAlign w:val="center"/>
          </w:tcPr>
          <w:p w14:paraId="0B0B1939">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1BA048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75D968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57F04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5DC622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2F3CC88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3B26A8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1F494D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1A0FD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4E9851D2">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78853F91">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2555F8AA">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2.</w:t>
            </w:r>
            <w:bookmarkStart w:id="2" w:name="_Hlk66974104"/>
            <w:r>
              <w:rPr>
                <w:rFonts w:hint="eastAsia" w:ascii="仿宋_GB2312" w:hAnsi="黑体"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7BF709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05842B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66D0BA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1E4C4D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7F78A8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0BB5F1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4429FD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4DA34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699986E7">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52DE102E">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482314D5">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20DB53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7547E6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CE29D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75AB51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202050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2C73ACC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560FA6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348BA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2B0637F0">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295DD08A">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3BBA04F6">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4.</w:t>
            </w:r>
            <w:bookmarkStart w:id="3" w:name="_Hlk66974290"/>
            <w:r>
              <w:rPr>
                <w:rFonts w:hint="eastAsia" w:ascii="仿宋_GB2312" w:hAnsi="黑体"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3473FE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47BEE2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F11B4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6A0C19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3AACFF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0D0E1F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45B91F0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25724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604EB7CD">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56F81CBA">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661EF253">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0FE1D5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809A2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6F182E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3B796B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416276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2D617C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155D67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42076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19F433F7">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027151AE">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63833582">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6.</w:t>
            </w:r>
            <w:bookmarkStart w:id="4" w:name="_Hlk66974555"/>
            <w:r>
              <w:rPr>
                <w:rFonts w:hint="eastAsia" w:ascii="仿宋_GB2312" w:hAnsi="黑体" w:eastAsia="仿宋_GB2312" w:cs="Times New Roman"/>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4E8222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6FC4A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486DC1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13CB12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07A374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33BCD6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29FF1E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2E912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7D2C9E41">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250BC871">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29179278">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06E15D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0A3A01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00CAC7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370F4B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473243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4C71EE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0F7299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6AB84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1B793748">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23BD0F18">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35304245">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8.</w:t>
            </w:r>
            <w:bookmarkStart w:id="5" w:name="_Hlk66975211"/>
            <w:r>
              <w:rPr>
                <w:rFonts w:hint="eastAsia" w:ascii="仿宋_GB2312" w:hAnsi="黑体" w:eastAsia="仿宋_GB2312" w:cs="Times New Roman"/>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49E3E6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F27BE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124143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4A3A76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0BFE47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077691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18E366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29495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0A6DACB1">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restart"/>
            <w:shd w:val="clear" w:color="auto" w:fill="auto"/>
            <w:tcMar>
              <w:left w:w="108" w:type="dxa"/>
              <w:right w:w="108" w:type="dxa"/>
            </w:tcMar>
            <w:vAlign w:val="center"/>
          </w:tcPr>
          <w:p w14:paraId="5B417626">
            <w:pPr>
              <w:widowControl/>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（四）无法提供</w:t>
            </w:r>
          </w:p>
        </w:tc>
        <w:tc>
          <w:tcPr>
            <w:tcW w:w="2671" w:type="dxa"/>
            <w:shd w:val="clear" w:color="auto" w:fill="auto"/>
            <w:tcMar>
              <w:left w:w="108" w:type="dxa"/>
              <w:right w:w="108" w:type="dxa"/>
            </w:tcMar>
            <w:vAlign w:val="center"/>
          </w:tcPr>
          <w:p w14:paraId="4924C9CB">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284CA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3D8B2F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5C93A8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5C1A4C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1C57AC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3DA1A8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12FE0B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7580E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2A18DDFC">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35BEB531">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00BE1274">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2.</w:t>
            </w:r>
            <w:bookmarkStart w:id="6" w:name="_Hlk66975392"/>
            <w:r>
              <w:rPr>
                <w:rFonts w:hint="eastAsia" w:ascii="仿宋_GB2312" w:hAnsi="黑体"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5B443E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36D892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43626CB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6BDAC5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0974A7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0CB4FE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21F49C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18FEA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07FCCBBE">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32F0CD9B">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1276AE80">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3.</w:t>
            </w:r>
            <w:bookmarkStart w:id="7" w:name="_Hlk66975466"/>
            <w:r>
              <w:rPr>
                <w:rFonts w:hint="eastAsia" w:ascii="仿宋_GB2312" w:hAnsi="黑体"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5CD856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5FC284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5752D1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1DB566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6B469D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20A352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7DD4EC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29D70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2BE414D2">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restart"/>
            <w:shd w:val="clear" w:color="auto" w:fill="auto"/>
            <w:tcMar>
              <w:left w:w="108" w:type="dxa"/>
              <w:right w:w="108" w:type="dxa"/>
            </w:tcMar>
            <w:vAlign w:val="center"/>
          </w:tcPr>
          <w:p w14:paraId="5DA94C2D">
            <w:pPr>
              <w:widowControl/>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（五）不予处理</w:t>
            </w:r>
          </w:p>
        </w:tc>
        <w:tc>
          <w:tcPr>
            <w:tcW w:w="2671" w:type="dxa"/>
            <w:shd w:val="clear" w:color="auto" w:fill="auto"/>
            <w:tcMar>
              <w:left w:w="108" w:type="dxa"/>
              <w:right w:w="108" w:type="dxa"/>
            </w:tcMar>
            <w:vAlign w:val="center"/>
          </w:tcPr>
          <w:p w14:paraId="45F8B7EA">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1.</w:t>
            </w:r>
            <w:bookmarkStart w:id="8" w:name="_Hlk66975537"/>
            <w:r>
              <w:rPr>
                <w:rFonts w:hint="eastAsia" w:ascii="仿宋_GB2312" w:hAnsi="黑体"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98DC1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51F9D2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1F758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187505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4EC1FA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6229C6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352877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067F1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07C85CD3">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37CBF733">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2DEEF3BE">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60BB06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74CB77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b/>
                <w:bCs w:val="0"/>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707573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6F8C06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194EF3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6B75AF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0AF69A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hAnsi="Times New Roman" w:eastAsia="仿宋_GB2312" w:cs="Times New Roman"/>
                <w:color w:val="000000"/>
                <w:kern w:val="2"/>
                <w:sz w:val="21"/>
                <w:szCs w:val="21"/>
                <w:lang w:val="en-US" w:eastAsia="zh-CN" w:bidi="ar-SA"/>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06122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43E81526">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332DCCC4">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1728649E">
            <w:pPr>
              <w:widowControl/>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28D4A0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0DCA52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31F3DC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044957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57F863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3DFAA1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5E509F8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37347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0B8EDFD2">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73CC5825">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577A4C18">
            <w:pPr>
              <w:widowControl/>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4B32F2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62F3D6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18A0D7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2E3D66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301C80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1DDA19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0679CD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3333E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19C33D42">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03388874">
            <w:pPr>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p>
        </w:tc>
        <w:tc>
          <w:tcPr>
            <w:tcW w:w="2671" w:type="dxa"/>
            <w:shd w:val="clear" w:color="auto" w:fill="auto"/>
            <w:tcMar>
              <w:left w:w="108" w:type="dxa"/>
              <w:right w:w="108" w:type="dxa"/>
            </w:tcMar>
            <w:vAlign w:val="center"/>
          </w:tcPr>
          <w:p w14:paraId="3D105C1F">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5.要求行政机关确认或重新</w:t>
            </w:r>
          </w:p>
          <w:p w14:paraId="65F93B10">
            <w:pPr>
              <w:widowControl/>
              <w:snapToGrid w:val="0"/>
              <w:spacing w:line="240" w:lineRule="auto"/>
              <w:ind w:left="0" w:leftChars="0" w:right="0" w:rightChars="0" w:firstLine="0" w:firstLineChars="0"/>
              <w:jc w:val="left"/>
              <w:rPr>
                <w:rFonts w:ascii="仿宋_GB2312" w:hAnsi="黑体" w:eastAsia="仿宋_GB2312" w:cs="Times New Roman"/>
                <w:kern w:val="2"/>
                <w:sz w:val="21"/>
                <w:szCs w:val="21"/>
                <w:lang w:eastAsia="zh-CN" w:bidi="ar-SA"/>
              </w:rPr>
            </w:pPr>
            <w:r>
              <w:rPr>
                <w:rFonts w:hint="eastAsia" w:ascii="仿宋_GB2312" w:hAnsi="黑体"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78F382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549D66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1DCC0B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2EEEEA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7A7AE4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5C96EA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047EA3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5E3D7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70722984">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restart"/>
            <w:shd w:val="clear" w:color="auto" w:fill="auto"/>
            <w:tcMar>
              <w:left w:w="108" w:type="dxa"/>
              <w:right w:w="108" w:type="dxa"/>
            </w:tcMar>
            <w:vAlign w:val="center"/>
          </w:tcPr>
          <w:p w14:paraId="3FB2041D">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（六）其他处理</w:t>
            </w:r>
          </w:p>
        </w:tc>
        <w:tc>
          <w:tcPr>
            <w:tcW w:w="2671" w:type="dxa"/>
            <w:shd w:val="clear" w:color="auto" w:fill="auto"/>
            <w:vAlign w:val="center"/>
          </w:tcPr>
          <w:p w14:paraId="3E9F936A">
            <w:pPr>
              <w:widowControl/>
              <w:snapToGrid w:val="0"/>
              <w:spacing w:line="240" w:lineRule="auto"/>
              <w:ind w:left="0" w:leftChars="0" w:right="0" w:rightChars="0" w:firstLine="0" w:firstLineChars="0"/>
              <w:jc w:val="left"/>
              <w:rPr>
                <w:rFonts w:ascii="仿宋_GB2312" w:hAnsi="楷体" w:eastAsia="仿宋_GB2312" w:cs="Times New Roman"/>
                <w:kern w:val="2"/>
                <w:sz w:val="21"/>
                <w:szCs w:val="22"/>
                <w:lang w:eastAsia="zh-CN" w:bidi="ar-SA"/>
              </w:rPr>
            </w:pPr>
            <w:r>
              <w:rPr>
                <w:rFonts w:hint="eastAsia" w:ascii="仿宋_GB2312" w:hAnsi="楷体"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0ABC884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86AE1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AEE13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6D45A5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2B34E4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3CFB7C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65C6B6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7123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379617E6">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4B3BA146">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p>
        </w:tc>
        <w:tc>
          <w:tcPr>
            <w:tcW w:w="2671" w:type="dxa"/>
            <w:shd w:val="clear" w:color="auto" w:fill="auto"/>
            <w:vAlign w:val="center"/>
          </w:tcPr>
          <w:p w14:paraId="5F594759">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楷体"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7FA02A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5F1724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111864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64BA37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7F37E0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49718B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620369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1E5DC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4CF64AFB">
            <w:pPr>
              <w:snapToGrid w:val="0"/>
              <w:ind w:left="0" w:leftChars="0" w:right="0" w:rightChars="0" w:firstLine="0" w:firstLineChars="0"/>
              <w:jc w:val="left"/>
              <w:rPr>
                <w:rFonts w:ascii="仿宋_GB2312" w:hAnsi="黑体" w:eastAsia="仿宋_GB2312" w:cs="Times New Roman"/>
                <w:kern w:val="2"/>
                <w:sz w:val="21"/>
                <w:szCs w:val="21"/>
                <w:lang w:eastAsia="zh-CN" w:bidi="ar-SA"/>
              </w:rPr>
            </w:pPr>
          </w:p>
        </w:tc>
        <w:tc>
          <w:tcPr>
            <w:tcW w:w="1091" w:type="dxa"/>
            <w:vMerge w:val="continue"/>
            <w:shd w:val="clear" w:color="auto" w:fill="auto"/>
            <w:tcMar>
              <w:left w:w="108" w:type="dxa"/>
              <w:right w:w="108" w:type="dxa"/>
            </w:tcMar>
            <w:vAlign w:val="center"/>
          </w:tcPr>
          <w:p w14:paraId="495F169E">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p>
        </w:tc>
        <w:tc>
          <w:tcPr>
            <w:tcW w:w="2671" w:type="dxa"/>
            <w:shd w:val="clear" w:color="auto" w:fill="auto"/>
            <w:vAlign w:val="center"/>
          </w:tcPr>
          <w:p w14:paraId="22EF97E1">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楷体"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0E0225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6F4FDB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1A3CA7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4824E5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339B10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682FA2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1FED4E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r w14:paraId="02C5C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57FD7BB4">
            <w:pPr>
              <w:snapToGrid w:val="0"/>
              <w:ind w:left="0" w:leftChars="0" w:right="0" w:rightChars="0" w:firstLine="0" w:firstLineChars="0"/>
              <w:jc w:val="left"/>
              <w:rPr>
                <w:rFonts w:ascii="仿宋_GB2312" w:hAnsi="黑体" w:eastAsia="仿宋_GB2312" w:cs="Times New Roman"/>
                <w:b/>
                <w:kern w:val="2"/>
                <w:sz w:val="21"/>
                <w:szCs w:val="21"/>
                <w:lang w:eastAsia="zh-CN" w:bidi="ar-SA"/>
              </w:rPr>
            </w:pPr>
          </w:p>
        </w:tc>
        <w:tc>
          <w:tcPr>
            <w:tcW w:w="2671" w:type="dxa"/>
            <w:gridSpan w:val="2"/>
            <w:shd w:val="clear" w:color="auto" w:fill="auto"/>
            <w:tcMar>
              <w:left w:w="108" w:type="dxa"/>
              <w:right w:w="108" w:type="dxa"/>
            </w:tcMar>
            <w:vAlign w:val="center"/>
          </w:tcPr>
          <w:p w14:paraId="5ECD2BB5">
            <w:pPr>
              <w:widowControl/>
              <w:snapToGrid w:val="0"/>
              <w:spacing w:line="240" w:lineRule="auto"/>
              <w:ind w:left="0" w:leftChars="0" w:right="0" w:rightChars="0" w:firstLine="0" w:firstLineChars="0"/>
              <w:jc w:val="center"/>
              <w:rPr>
                <w:rFonts w:ascii="仿宋_GB2312" w:hAnsi="黑体" w:eastAsia="仿宋_GB2312" w:cs="Times New Roman"/>
                <w:b/>
                <w:kern w:val="0"/>
                <w:sz w:val="21"/>
                <w:szCs w:val="21"/>
                <w:lang w:eastAsia="zh-CN" w:bidi="ar-SA"/>
              </w:rPr>
            </w:pPr>
            <w:r>
              <w:rPr>
                <w:rFonts w:hint="eastAsia" w:ascii="仿宋_GB2312" w:hAnsi="黑体"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010B2B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4EC9AFF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38E885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64936C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415B7C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5357C8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730FFF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32"/>
                <w14:textFill>
                  <w14:solidFill>
                    <w14:schemeClr w14:val="tx1"/>
                  </w14:solidFill>
                </w14:textFill>
              </w:rPr>
              <w:t>0</w:t>
            </w:r>
          </w:p>
        </w:tc>
      </w:tr>
      <w:tr w14:paraId="24CD9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1" w:type="dxa"/>
            <w:gridSpan w:val="3"/>
            <w:shd w:val="clear" w:color="auto" w:fill="auto"/>
            <w:tcMar>
              <w:left w:w="108" w:type="dxa"/>
              <w:right w:w="108" w:type="dxa"/>
            </w:tcMar>
            <w:vAlign w:val="center"/>
          </w:tcPr>
          <w:p w14:paraId="14AE364D">
            <w:pPr>
              <w:widowControl/>
              <w:snapToGrid w:val="0"/>
              <w:spacing w:line="240" w:lineRule="auto"/>
              <w:ind w:left="0" w:leftChars="0" w:right="0" w:rightChars="0" w:firstLine="0" w:firstLineChars="0"/>
              <w:jc w:val="left"/>
              <w:rPr>
                <w:rFonts w:ascii="仿宋_GB2312" w:hAnsi="黑体" w:eastAsia="仿宋_GB2312" w:cs="Times New Roman"/>
                <w:kern w:val="0"/>
                <w:sz w:val="21"/>
                <w:szCs w:val="21"/>
                <w:lang w:eastAsia="zh-CN" w:bidi="ar-SA"/>
              </w:rPr>
            </w:pPr>
            <w:r>
              <w:rPr>
                <w:rFonts w:hint="eastAsia" w:ascii="仿宋_GB2312" w:hAnsi="黑体"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28A01D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2D02FE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687" w:type="dxa"/>
            <w:shd w:val="clear" w:color="auto" w:fill="auto"/>
            <w:tcMar>
              <w:left w:w="108" w:type="dxa"/>
              <w:right w:w="108" w:type="dxa"/>
            </w:tcMar>
            <w:vAlign w:val="center"/>
          </w:tcPr>
          <w:p w14:paraId="1FF898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892" w:type="dxa"/>
            <w:shd w:val="clear" w:color="auto" w:fill="auto"/>
            <w:tcMar>
              <w:left w:w="108" w:type="dxa"/>
              <w:right w:w="108" w:type="dxa"/>
            </w:tcMar>
            <w:vAlign w:val="center"/>
          </w:tcPr>
          <w:p w14:paraId="43C1A5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731" w:type="dxa"/>
            <w:shd w:val="clear" w:color="auto" w:fill="auto"/>
            <w:tcMar>
              <w:left w:w="108" w:type="dxa"/>
              <w:right w:w="108" w:type="dxa"/>
            </w:tcMar>
            <w:vAlign w:val="center"/>
          </w:tcPr>
          <w:p w14:paraId="1F1AC3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9" w:type="dxa"/>
            <w:shd w:val="clear" w:color="auto" w:fill="auto"/>
            <w:tcMar>
              <w:left w:w="108" w:type="dxa"/>
              <w:right w:w="108" w:type="dxa"/>
            </w:tcMar>
            <w:vAlign w:val="center"/>
          </w:tcPr>
          <w:p w14:paraId="379962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496" w:type="dxa"/>
            <w:shd w:val="clear" w:color="auto" w:fill="auto"/>
            <w:tcMar>
              <w:left w:w="108" w:type="dxa"/>
              <w:right w:w="108" w:type="dxa"/>
            </w:tcMar>
            <w:vAlign w:val="center"/>
          </w:tcPr>
          <w:p w14:paraId="38A314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21"/>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bl>
    <w:p w14:paraId="2EC33C96">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val="en-US" w:eastAsia="zh-CN"/>
        </w:rPr>
        <w:t>四、</w:t>
      </w:r>
      <w:r>
        <w:rPr>
          <w:rFonts w:ascii="Times New Roman" w:hAnsi="Times New Roman" w:eastAsia="黑体" w:cs="Times New Roman"/>
          <w:bCs/>
          <w:color w:val="auto"/>
          <w:sz w:val="32"/>
          <w:szCs w:val="32"/>
        </w:rPr>
        <w:t>政府信息公开行政复议、行政诉讼情况</w:t>
      </w:r>
    </w:p>
    <w:tbl>
      <w:tblPr>
        <w:tblStyle w:val="4"/>
        <w:tblW w:w="5223" w:type="pct"/>
        <w:jc w:val="center"/>
        <w:tblLayout w:type="autofit"/>
        <w:tblCellMar>
          <w:top w:w="0" w:type="dxa"/>
          <w:left w:w="10" w:type="dxa"/>
          <w:bottom w:w="0" w:type="dxa"/>
          <w:right w:w="10" w:type="dxa"/>
        </w:tblCellMar>
      </w:tblPr>
      <w:tblGrid>
        <w:gridCol w:w="600"/>
        <w:gridCol w:w="602"/>
        <w:gridCol w:w="602"/>
        <w:gridCol w:w="602"/>
        <w:gridCol w:w="487"/>
        <w:gridCol w:w="602"/>
        <w:gridCol w:w="602"/>
        <w:gridCol w:w="602"/>
        <w:gridCol w:w="602"/>
        <w:gridCol w:w="492"/>
        <w:gridCol w:w="602"/>
        <w:gridCol w:w="602"/>
        <w:gridCol w:w="602"/>
        <w:gridCol w:w="602"/>
        <w:gridCol w:w="496"/>
      </w:tblGrid>
      <w:tr w14:paraId="369B57FD">
        <w:trPr>
          <w:trHeight w:val="464" w:hRule="atLeast"/>
          <w:jc w:val="center"/>
        </w:trPr>
        <w:tc>
          <w:tcPr>
            <w:tcW w:w="1663" w:type="pct"/>
            <w:gridSpan w:val="5"/>
            <w:tcBorders>
              <w:top w:val="single" w:color="auto" w:sz="4" w:space="0"/>
              <w:left w:val="single" w:color="auto" w:sz="4" w:space="0"/>
            </w:tcBorders>
            <w:shd w:val="clear" w:color="auto" w:fill="FFFFFF"/>
            <w:vAlign w:val="center"/>
          </w:tcPr>
          <w:p w14:paraId="50DB703B">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行政复议</w:t>
            </w:r>
          </w:p>
        </w:tc>
        <w:tc>
          <w:tcPr>
            <w:tcW w:w="3336" w:type="pct"/>
            <w:gridSpan w:val="10"/>
            <w:tcBorders>
              <w:top w:val="single" w:color="auto" w:sz="4" w:space="0"/>
              <w:left w:val="single" w:color="auto" w:sz="4" w:space="0"/>
              <w:right w:val="single" w:color="auto" w:sz="4" w:space="0"/>
            </w:tcBorders>
            <w:shd w:val="clear" w:color="auto" w:fill="FFFFFF"/>
            <w:vAlign w:val="center"/>
          </w:tcPr>
          <w:p w14:paraId="04C6B04F">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行政诉讼</w:t>
            </w:r>
          </w:p>
        </w:tc>
      </w:tr>
      <w:tr w14:paraId="53AF0D62">
        <w:tblPrEx>
          <w:tblCellMar>
            <w:top w:w="0" w:type="dxa"/>
            <w:left w:w="10" w:type="dxa"/>
            <w:bottom w:w="0" w:type="dxa"/>
            <w:right w:w="10" w:type="dxa"/>
          </w:tblCellMar>
        </w:tblPrEx>
        <w:trPr>
          <w:trHeight w:val="464" w:hRule="atLeast"/>
          <w:jc w:val="center"/>
        </w:trPr>
        <w:tc>
          <w:tcPr>
            <w:tcW w:w="345" w:type="pct"/>
            <w:vMerge w:val="restart"/>
            <w:tcBorders>
              <w:top w:val="single" w:color="auto" w:sz="4" w:space="0"/>
              <w:left w:val="single" w:color="auto" w:sz="4" w:space="0"/>
            </w:tcBorders>
            <w:shd w:val="clear" w:color="auto" w:fill="FFFFFF"/>
            <w:vAlign w:val="center"/>
          </w:tcPr>
          <w:p w14:paraId="2B012780">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346" w:type="pct"/>
            <w:vMerge w:val="restart"/>
            <w:tcBorders>
              <w:top w:val="single" w:color="auto" w:sz="4" w:space="0"/>
              <w:left w:val="single" w:color="auto" w:sz="4" w:space="0"/>
            </w:tcBorders>
            <w:shd w:val="clear" w:color="auto" w:fill="FFFFFF"/>
            <w:vAlign w:val="center"/>
          </w:tcPr>
          <w:p w14:paraId="2335F245">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346" w:type="pct"/>
            <w:vMerge w:val="restart"/>
            <w:tcBorders>
              <w:top w:val="single" w:color="auto" w:sz="4" w:space="0"/>
              <w:left w:val="single" w:color="auto" w:sz="4" w:space="0"/>
            </w:tcBorders>
            <w:shd w:val="clear" w:color="auto" w:fill="FFFFFF"/>
            <w:vAlign w:val="center"/>
          </w:tcPr>
          <w:p w14:paraId="78E899F6">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346" w:type="pct"/>
            <w:vMerge w:val="restart"/>
            <w:tcBorders>
              <w:top w:val="single" w:color="auto" w:sz="4" w:space="0"/>
              <w:left w:val="single" w:color="auto" w:sz="4" w:space="0"/>
            </w:tcBorders>
            <w:shd w:val="clear" w:color="auto" w:fill="FFFFFF"/>
            <w:vAlign w:val="center"/>
          </w:tcPr>
          <w:p w14:paraId="7F2E6337">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278" w:type="pct"/>
            <w:vMerge w:val="restart"/>
            <w:tcBorders>
              <w:top w:val="single" w:color="auto" w:sz="4" w:space="0"/>
              <w:left w:val="single" w:color="auto" w:sz="4" w:space="0"/>
            </w:tcBorders>
            <w:shd w:val="clear" w:color="auto" w:fill="FFFFFF"/>
            <w:textDirection w:val="tbRlV"/>
            <w:vAlign w:val="bottom"/>
          </w:tcPr>
          <w:p w14:paraId="75317CE2">
            <w:pPr>
              <w:pStyle w:val="9"/>
              <w:keepNext/>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ascii="Times New Roman" w:hAnsi="Times New Roman" w:cs="Times New Roman"/>
                <w:color w:val="auto"/>
              </w:rPr>
            </w:pPr>
            <w:r>
              <w:rPr>
                <w:rFonts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438A0C2">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未经复议直接起诉</w:t>
            </w:r>
          </w:p>
        </w:tc>
        <w:tc>
          <w:tcPr>
            <w:tcW w:w="1668" w:type="pct"/>
            <w:gridSpan w:val="5"/>
            <w:tcBorders>
              <w:top w:val="single" w:color="auto" w:sz="4" w:space="0"/>
              <w:left w:val="single" w:color="auto" w:sz="4" w:space="0"/>
              <w:right w:val="single" w:color="auto" w:sz="4" w:space="0"/>
            </w:tcBorders>
            <w:shd w:val="clear" w:color="auto" w:fill="FFFFFF"/>
            <w:vAlign w:val="center"/>
          </w:tcPr>
          <w:p w14:paraId="68137593">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复议后起诉</w:t>
            </w:r>
          </w:p>
        </w:tc>
      </w:tr>
      <w:tr w14:paraId="00F61AD6">
        <w:tblPrEx>
          <w:tblCellMar>
            <w:top w:w="0" w:type="dxa"/>
            <w:left w:w="10" w:type="dxa"/>
            <w:bottom w:w="0" w:type="dxa"/>
            <w:right w:w="10" w:type="dxa"/>
          </w:tblCellMar>
        </w:tblPrEx>
        <w:trPr>
          <w:trHeight w:val="918" w:hRule="atLeast"/>
          <w:jc w:val="center"/>
        </w:trPr>
        <w:tc>
          <w:tcPr>
            <w:tcW w:w="345" w:type="pct"/>
            <w:vMerge w:val="continue"/>
            <w:tcBorders>
              <w:left w:val="single" w:color="auto" w:sz="4" w:space="0"/>
            </w:tcBorders>
            <w:shd w:val="clear" w:color="auto" w:fill="FFFFFF"/>
            <w:vAlign w:val="center"/>
          </w:tcPr>
          <w:p w14:paraId="6F6E3DA7">
            <w:pPr>
              <w:keepNext/>
              <w:keepLines w:val="0"/>
              <w:pageBreakBefore w:val="0"/>
              <w:widowControl w:val="0"/>
              <w:kinsoku/>
              <w:wordWrap/>
              <w:overflowPunct/>
              <w:topLinePunct w:val="0"/>
              <w:autoSpaceDE/>
              <w:autoSpaceDN/>
              <w:bidi w:val="0"/>
              <w:adjustRightInd/>
              <w:snapToGrid w:val="0"/>
              <w:spacing w:line="440" w:lineRule="exact"/>
              <w:jc w:val="center"/>
              <w:textAlignment w:val="auto"/>
              <w:rPr>
                <w:color w:val="auto"/>
              </w:rPr>
            </w:pPr>
          </w:p>
        </w:tc>
        <w:tc>
          <w:tcPr>
            <w:tcW w:w="346" w:type="pct"/>
            <w:vMerge w:val="continue"/>
            <w:tcBorders>
              <w:left w:val="single" w:color="auto" w:sz="4" w:space="0"/>
            </w:tcBorders>
            <w:shd w:val="clear" w:color="auto" w:fill="FFFFFF"/>
            <w:vAlign w:val="center"/>
          </w:tcPr>
          <w:p w14:paraId="3560AB35">
            <w:pPr>
              <w:keepNext/>
              <w:keepLines w:val="0"/>
              <w:pageBreakBefore w:val="0"/>
              <w:widowControl w:val="0"/>
              <w:kinsoku/>
              <w:wordWrap/>
              <w:overflowPunct/>
              <w:topLinePunct w:val="0"/>
              <w:autoSpaceDE/>
              <w:autoSpaceDN/>
              <w:bidi w:val="0"/>
              <w:adjustRightInd/>
              <w:snapToGrid w:val="0"/>
              <w:spacing w:line="440" w:lineRule="exact"/>
              <w:jc w:val="center"/>
              <w:textAlignment w:val="auto"/>
              <w:rPr>
                <w:color w:val="auto"/>
              </w:rPr>
            </w:pPr>
          </w:p>
        </w:tc>
        <w:tc>
          <w:tcPr>
            <w:tcW w:w="346" w:type="pct"/>
            <w:vMerge w:val="continue"/>
            <w:tcBorders>
              <w:left w:val="single" w:color="auto" w:sz="4" w:space="0"/>
            </w:tcBorders>
            <w:shd w:val="clear" w:color="auto" w:fill="FFFFFF"/>
            <w:vAlign w:val="center"/>
          </w:tcPr>
          <w:p w14:paraId="184EEC32">
            <w:pPr>
              <w:keepNext/>
              <w:keepLines w:val="0"/>
              <w:pageBreakBefore w:val="0"/>
              <w:widowControl w:val="0"/>
              <w:kinsoku/>
              <w:wordWrap/>
              <w:overflowPunct/>
              <w:topLinePunct w:val="0"/>
              <w:autoSpaceDE/>
              <w:autoSpaceDN/>
              <w:bidi w:val="0"/>
              <w:adjustRightInd/>
              <w:snapToGrid w:val="0"/>
              <w:spacing w:line="440" w:lineRule="exact"/>
              <w:jc w:val="center"/>
              <w:textAlignment w:val="auto"/>
              <w:rPr>
                <w:color w:val="auto"/>
              </w:rPr>
            </w:pPr>
          </w:p>
        </w:tc>
        <w:tc>
          <w:tcPr>
            <w:tcW w:w="346" w:type="pct"/>
            <w:vMerge w:val="continue"/>
            <w:tcBorders>
              <w:left w:val="single" w:color="auto" w:sz="4" w:space="0"/>
            </w:tcBorders>
            <w:shd w:val="clear" w:color="auto" w:fill="FFFFFF"/>
            <w:vAlign w:val="center"/>
          </w:tcPr>
          <w:p w14:paraId="09545CC7">
            <w:pPr>
              <w:keepNext/>
              <w:keepLines w:val="0"/>
              <w:pageBreakBefore w:val="0"/>
              <w:widowControl w:val="0"/>
              <w:kinsoku/>
              <w:wordWrap/>
              <w:overflowPunct/>
              <w:topLinePunct w:val="0"/>
              <w:autoSpaceDE/>
              <w:autoSpaceDN/>
              <w:bidi w:val="0"/>
              <w:adjustRightInd/>
              <w:snapToGrid w:val="0"/>
              <w:spacing w:line="440" w:lineRule="exact"/>
              <w:jc w:val="center"/>
              <w:textAlignment w:val="auto"/>
              <w:rPr>
                <w:color w:val="auto"/>
              </w:rPr>
            </w:pPr>
          </w:p>
        </w:tc>
        <w:tc>
          <w:tcPr>
            <w:tcW w:w="278" w:type="pct"/>
            <w:vMerge w:val="continue"/>
            <w:tcBorders>
              <w:left w:val="single" w:color="auto" w:sz="4" w:space="0"/>
            </w:tcBorders>
            <w:shd w:val="clear" w:color="auto" w:fill="FFFFFF"/>
            <w:textDirection w:val="tbRlV"/>
            <w:vAlign w:val="bottom"/>
          </w:tcPr>
          <w:p w14:paraId="6A70FA9F">
            <w:pPr>
              <w:keepNext/>
              <w:keepLines w:val="0"/>
              <w:pageBreakBefore w:val="0"/>
              <w:widowControl w:val="0"/>
              <w:kinsoku/>
              <w:wordWrap/>
              <w:overflowPunct/>
              <w:topLinePunct w:val="0"/>
              <w:autoSpaceDE/>
              <w:autoSpaceDN/>
              <w:bidi w:val="0"/>
              <w:adjustRightInd/>
              <w:snapToGrid w:val="0"/>
              <w:spacing w:line="440" w:lineRule="exact"/>
              <w:jc w:val="center"/>
              <w:textAlignment w:val="auto"/>
              <w:rPr>
                <w:color w:val="auto"/>
              </w:rPr>
            </w:pPr>
          </w:p>
        </w:tc>
        <w:tc>
          <w:tcPr>
            <w:tcW w:w="346" w:type="pct"/>
            <w:tcBorders>
              <w:top w:val="single" w:color="auto" w:sz="4" w:space="0"/>
              <w:left w:val="single" w:color="auto" w:sz="4" w:space="0"/>
            </w:tcBorders>
            <w:shd w:val="clear" w:color="auto" w:fill="FFFFFF"/>
            <w:vAlign w:val="center"/>
          </w:tcPr>
          <w:p w14:paraId="3ACF8B96">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346" w:type="pct"/>
            <w:tcBorders>
              <w:top w:val="single" w:color="auto" w:sz="4" w:space="0"/>
              <w:left w:val="single" w:color="auto" w:sz="4" w:space="0"/>
            </w:tcBorders>
            <w:shd w:val="clear" w:color="auto" w:fill="FFFFFF"/>
            <w:vAlign w:val="center"/>
          </w:tcPr>
          <w:p w14:paraId="327B645E">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346" w:type="pct"/>
            <w:tcBorders>
              <w:top w:val="single" w:color="auto" w:sz="4" w:space="0"/>
              <w:left w:val="single" w:color="auto" w:sz="4" w:space="0"/>
            </w:tcBorders>
            <w:shd w:val="clear" w:color="auto" w:fill="FFFFFF"/>
            <w:vAlign w:val="center"/>
          </w:tcPr>
          <w:p w14:paraId="472C474E">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346" w:type="pct"/>
            <w:tcBorders>
              <w:top w:val="single" w:color="auto" w:sz="4" w:space="0"/>
              <w:left w:val="single" w:color="auto" w:sz="4" w:space="0"/>
            </w:tcBorders>
            <w:shd w:val="clear" w:color="auto" w:fill="FFFFFF"/>
            <w:vAlign w:val="center"/>
          </w:tcPr>
          <w:p w14:paraId="6DE424F6">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281" w:type="pct"/>
            <w:tcBorders>
              <w:top w:val="single" w:color="auto" w:sz="4" w:space="0"/>
              <w:left w:val="single" w:color="auto" w:sz="4" w:space="0"/>
            </w:tcBorders>
            <w:shd w:val="clear" w:color="auto" w:fill="FFFFFF"/>
            <w:textDirection w:val="tbRlV"/>
          </w:tcPr>
          <w:p w14:paraId="4DDF6557">
            <w:pPr>
              <w:pStyle w:val="9"/>
              <w:keepNext/>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ascii="Times New Roman" w:hAnsi="Times New Roman" w:cs="Times New Roman"/>
                <w:color w:val="auto"/>
              </w:rPr>
            </w:pPr>
            <w:r>
              <w:rPr>
                <w:rFonts w:ascii="Times New Roman" w:hAnsi="Times New Roman" w:cs="Times New Roman"/>
                <w:color w:val="auto"/>
              </w:rPr>
              <w:t>总计</w:t>
            </w:r>
          </w:p>
        </w:tc>
        <w:tc>
          <w:tcPr>
            <w:tcW w:w="346" w:type="pct"/>
            <w:tcBorders>
              <w:top w:val="single" w:color="auto" w:sz="4" w:space="0"/>
              <w:left w:val="single" w:color="auto" w:sz="4" w:space="0"/>
            </w:tcBorders>
            <w:shd w:val="clear" w:color="auto" w:fill="FFFFFF"/>
            <w:vAlign w:val="center"/>
          </w:tcPr>
          <w:p w14:paraId="79BD5D15">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346" w:type="pct"/>
            <w:tcBorders>
              <w:top w:val="single" w:color="auto" w:sz="4" w:space="0"/>
              <w:left w:val="single" w:color="auto" w:sz="4" w:space="0"/>
            </w:tcBorders>
            <w:shd w:val="clear" w:color="auto" w:fill="FFFFFF"/>
            <w:vAlign w:val="center"/>
          </w:tcPr>
          <w:p w14:paraId="2246611A">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346" w:type="pct"/>
            <w:tcBorders>
              <w:top w:val="single" w:color="auto" w:sz="4" w:space="0"/>
              <w:left w:val="single" w:color="auto" w:sz="4" w:space="0"/>
            </w:tcBorders>
            <w:shd w:val="clear" w:color="auto" w:fill="FFFFFF"/>
            <w:vAlign w:val="center"/>
          </w:tcPr>
          <w:p w14:paraId="1BD374AD">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346" w:type="pct"/>
            <w:tcBorders>
              <w:top w:val="single" w:color="auto" w:sz="4" w:space="0"/>
              <w:left w:val="single" w:color="auto" w:sz="4" w:space="0"/>
            </w:tcBorders>
            <w:shd w:val="clear" w:color="auto" w:fill="FFFFFF"/>
            <w:vAlign w:val="center"/>
          </w:tcPr>
          <w:p w14:paraId="23C89F69">
            <w:pPr>
              <w:pStyle w:val="8"/>
              <w:keepNext/>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282" w:type="pct"/>
            <w:tcBorders>
              <w:top w:val="single" w:color="auto" w:sz="4" w:space="0"/>
              <w:left w:val="single" w:color="auto" w:sz="4" w:space="0"/>
              <w:right w:val="single" w:color="auto" w:sz="4" w:space="0"/>
            </w:tcBorders>
            <w:shd w:val="clear" w:color="auto" w:fill="FFFFFF"/>
            <w:textDirection w:val="tbRlV"/>
          </w:tcPr>
          <w:p w14:paraId="213CE063">
            <w:pPr>
              <w:pStyle w:val="9"/>
              <w:keepNext/>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ascii="Times New Roman" w:hAnsi="Times New Roman" w:cs="Times New Roman"/>
                <w:color w:val="auto"/>
              </w:rPr>
            </w:pPr>
            <w:r>
              <w:rPr>
                <w:rFonts w:ascii="Times New Roman" w:hAnsi="Times New Roman" w:cs="Times New Roman"/>
                <w:color w:val="auto"/>
              </w:rPr>
              <w:t>总计</w:t>
            </w:r>
          </w:p>
        </w:tc>
      </w:tr>
      <w:tr w14:paraId="165BD31B">
        <w:tblPrEx>
          <w:tblCellMar>
            <w:top w:w="0" w:type="dxa"/>
            <w:left w:w="10" w:type="dxa"/>
            <w:bottom w:w="0" w:type="dxa"/>
            <w:right w:w="10" w:type="dxa"/>
          </w:tblCellMar>
        </w:tblPrEx>
        <w:trPr>
          <w:trHeight w:val="301" w:hRule="atLeast"/>
          <w:jc w:val="center"/>
        </w:trPr>
        <w:tc>
          <w:tcPr>
            <w:tcW w:w="345" w:type="pct"/>
            <w:tcBorders>
              <w:top w:val="single" w:color="auto" w:sz="4" w:space="0"/>
              <w:left w:val="single" w:color="auto" w:sz="4" w:space="0"/>
              <w:bottom w:val="single" w:color="auto" w:sz="4" w:space="0"/>
            </w:tcBorders>
            <w:shd w:val="clear" w:color="auto" w:fill="auto"/>
            <w:vAlign w:val="center"/>
          </w:tcPr>
          <w:p w14:paraId="398DFC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68E7B9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2CB50B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45AC42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278" w:type="pct"/>
            <w:tcBorders>
              <w:top w:val="single" w:color="auto" w:sz="4" w:space="0"/>
              <w:left w:val="single" w:color="auto" w:sz="4" w:space="0"/>
              <w:bottom w:val="single" w:color="auto" w:sz="4" w:space="0"/>
            </w:tcBorders>
            <w:shd w:val="clear" w:color="auto" w:fill="auto"/>
            <w:vAlign w:val="center"/>
          </w:tcPr>
          <w:p w14:paraId="00D6B7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16247B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264EF0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6DAADCC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6B385B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281" w:type="pct"/>
            <w:tcBorders>
              <w:top w:val="single" w:color="auto" w:sz="4" w:space="0"/>
              <w:left w:val="single" w:color="auto" w:sz="4" w:space="0"/>
              <w:bottom w:val="single" w:color="auto" w:sz="4" w:space="0"/>
            </w:tcBorders>
            <w:shd w:val="clear" w:color="auto" w:fill="auto"/>
            <w:vAlign w:val="center"/>
          </w:tcPr>
          <w:p w14:paraId="0E8188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390751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3BADCB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2C3ADFC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346" w:type="pct"/>
            <w:tcBorders>
              <w:top w:val="single" w:color="auto" w:sz="4" w:space="0"/>
              <w:left w:val="single" w:color="auto" w:sz="4" w:space="0"/>
              <w:bottom w:val="single" w:color="auto" w:sz="4" w:space="0"/>
            </w:tcBorders>
            <w:shd w:val="clear" w:color="auto" w:fill="auto"/>
            <w:vAlign w:val="center"/>
          </w:tcPr>
          <w:p w14:paraId="4F6632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c>
          <w:tcPr>
            <w:tcW w:w="282" w:type="pct"/>
            <w:tcBorders>
              <w:top w:val="single" w:color="auto" w:sz="4" w:space="0"/>
              <w:left w:val="single" w:color="auto" w:sz="4" w:space="0"/>
              <w:bottom w:val="single" w:color="auto" w:sz="4" w:space="0"/>
              <w:right w:val="single" w:color="auto" w:sz="4" w:space="0"/>
            </w:tcBorders>
            <w:shd w:val="clear" w:color="auto" w:fill="FFFFFF"/>
            <w:vAlign w:val="center"/>
          </w:tcPr>
          <w:p w14:paraId="72106D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32"/>
                <w14:textFill>
                  <w14:solidFill>
                    <w14:schemeClr w14:val="tx1"/>
                  </w14:solidFill>
                </w14:textFill>
              </w:rPr>
              <w:t>0</w:t>
            </w:r>
          </w:p>
        </w:tc>
      </w:tr>
    </w:tbl>
    <w:p w14:paraId="2B0D560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000000" w:themeColor="text1"/>
          <w:sz w:val="32"/>
          <w:szCs w:val="32"/>
          <w:lang w:val="en-US" w:eastAsia="zh-CN" w:bidi="ar-SA"/>
          <w14:textFill>
            <w14:solidFill>
              <w14:schemeClr w14:val="tx1"/>
            </w14:solidFill>
          </w14:textFill>
        </w:rPr>
      </w:pPr>
      <w:r>
        <w:rPr>
          <w:rFonts w:hint="eastAsia" w:ascii="Times New Roman" w:hAnsi="Times New Roman" w:eastAsia="黑体"/>
          <w:color w:val="auto"/>
          <w:sz w:val="32"/>
          <w:szCs w:val="32"/>
          <w:lang w:val="en-US" w:eastAsia="zh-CN" w:bidi="ar-SA"/>
        </w:rPr>
        <w:t>五、</w:t>
      </w:r>
      <w:r>
        <w:rPr>
          <w:rFonts w:ascii="Times New Roman" w:hAnsi="Times New Roman" w:eastAsia="黑体"/>
          <w:color w:val="auto"/>
          <w:sz w:val="32"/>
          <w:szCs w:val="32"/>
          <w:lang w:eastAsia="zh-CN" w:bidi="ar-SA"/>
        </w:rPr>
        <w:t>存在的主要问题及改进情况</w:t>
      </w:r>
    </w:p>
    <w:p w14:paraId="7503C8FC">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hint="eastAsia" w:ascii="Times New Roman" w:hAnsi="Times New Roman" w:eastAsia="仿宋_GB2312" w:cs="仿宋_GB2312"/>
          <w:b/>
          <w:bCs/>
          <w:color w:val="auto"/>
          <w:sz w:val="32"/>
          <w:szCs w:val="32"/>
          <w:shd w:val="clear" w:color="auto" w:fill="FFFFFF"/>
          <w:lang w:val="en-US" w:eastAsia="zh-CN"/>
        </w:rPr>
      </w:pPr>
      <w:r>
        <w:rPr>
          <w:rFonts w:hint="eastAsia" w:ascii="Times New Roman" w:hAnsi="Times New Roman" w:eastAsia="仿宋_GB2312" w:cs="仿宋_GB2312"/>
          <w:b/>
          <w:bCs/>
          <w:color w:val="auto"/>
          <w:sz w:val="32"/>
          <w:szCs w:val="32"/>
          <w:shd w:val="clear" w:color="auto" w:fill="FFFFFF"/>
          <w:lang w:val="en-US" w:eastAsia="zh-CN"/>
        </w:rPr>
        <w:t>（一）2024年存在问题整改情况</w:t>
      </w:r>
    </w:p>
    <w:p w14:paraId="3B43015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针对</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2024年存在的问题，从以下几个方面进行整改：一是深化宣传普及，加强主动公开信息、依申请公开信息的宣传力度；二是严守时效底线，</w:t>
      </w: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及时进行信息公开，保证信息公开及时性</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；三是强化统筹保障，进一步健全领导责任制，加强工作人员服务意识和专业技能培训。</w:t>
      </w:r>
    </w:p>
    <w:p w14:paraId="2D5E931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hint="eastAsia" w:ascii="Times New Roman" w:hAnsi="Times New Roman" w:eastAsia="仿宋_GB2312" w:cs="Times New Roman"/>
          <w:b w:val="0"/>
          <w:bCs w:val="0"/>
          <w:color w:val="000000" w:themeColor="text1"/>
          <w:kern w:val="0"/>
          <w:sz w:val="32"/>
          <w:szCs w:val="32"/>
          <w:u w:val="single"/>
          <w:lang w:val="en-US" w:eastAsia="zh-CN" w:bidi="ar-SA"/>
          <w14:textFill>
            <w14:solidFill>
              <w14:schemeClr w14:val="tx1"/>
            </w14:solidFill>
          </w14:textFill>
        </w:rPr>
      </w:pPr>
      <w:r>
        <w:rPr>
          <w:rFonts w:hint="eastAsia" w:ascii="Times New Roman" w:hAnsi="Times New Roman" w:eastAsia="仿宋_GB2312" w:cs="仿宋_GB2312"/>
          <w:b/>
          <w:bCs/>
          <w:color w:val="auto"/>
          <w:sz w:val="32"/>
          <w:szCs w:val="32"/>
          <w:shd w:val="clear" w:color="auto" w:fill="FFFFFF"/>
          <w:lang w:val="en-US" w:eastAsia="zh-CN"/>
        </w:rPr>
        <w:t>（二）2025年存在问题</w:t>
      </w:r>
    </w:p>
    <w:p w14:paraId="71CFA7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2025年我局在政府信息公开工作上取得一定成效，但在公开形式创新性方面还有待进一步加强，信息公开多以文字发布为主，对图文解读、短视频宣讲等新型公开形式运用不足；公开载体较为单一，未能充分结合新媒体平台优势拓展传播渠道，与群众信息获取习惯的适配度有待提高。</w:t>
      </w:r>
    </w:p>
    <w:p w14:paraId="7C457EF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hint="eastAsia" w:ascii="Times New Roman" w:hAnsi="Times New Roman" w:eastAsia="仿宋_GB2312" w:cs="仿宋_GB2312"/>
          <w:b/>
          <w:bCs/>
          <w:color w:val="auto"/>
          <w:sz w:val="32"/>
          <w:szCs w:val="32"/>
          <w:shd w:val="clear" w:color="auto" w:fill="FFFFFF"/>
          <w:lang w:val="en-US" w:eastAsia="zh-CN"/>
        </w:rPr>
      </w:pPr>
      <w:r>
        <w:rPr>
          <w:rFonts w:hint="eastAsia" w:ascii="Times New Roman" w:hAnsi="Times New Roman" w:eastAsia="仿宋_GB2312" w:cs="仿宋_GB2312"/>
          <w:b/>
          <w:bCs/>
          <w:color w:val="auto"/>
          <w:sz w:val="32"/>
          <w:szCs w:val="32"/>
          <w:shd w:val="clear" w:color="auto" w:fill="FFFFFF"/>
          <w:lang w:val="en-US" w:eastAsia="zh-CN"/>
        </w:rPr>
        <w:t>（三）改进措施</w:t>
      </w:r>
    </w:p>
    <w:p w14:paraId="6A2362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下一步，我局将进一步加强队伍建设，开展专题培训，提升工作人员业务能力和服务水平；创新公开形式，丰富图文、视频等公开载体，提升信息传播效果，持续提升政府信息公开工作的及时响应能力、内容覆盖深度与流程执行标准。</w:t>
      </w:r>
    </w:p>
    <w:p w14:paraId="469BD9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olor w:val="auto"/>
          <w:sz w:val="32"/>
          <w:szCs w:val="32"/>
          <w:lang w:eastAsia="zh-CN" w:bidi="zh-TW"/>
        </w:rPr>
      </w:pPr>
      <w:r>
        <w:rPr>
          <w:rFonts w:hint="eastAsia" w:ascii="Times New Roman" w:hAnsi="Times New Roman" w:eastAsia="黑体"/>
          <w:color w:val="auto"/>
          <w:sz w:val="32"/>
          <w:szCs w:val="32"/>
          <w:lang w:val="en-US" w:eastAsia="zh-CN" w:bidi="zh-TW"/>
        </w:rPr>
        <w:t>六、</w:t>
      </w:r>
      <w:r>
        <w:rPr>
          <w:rFonts w:ascii="Times New Roman" w:hAnsi="Times New Roman" w:eastAsia="黑体"/>
          <w:color w:val="auto"/>
          <w:sz w:val="32"/>
          <w:szCs w:val="32"/>
          <w:lang w:eastAsia="zh-CN" w:bidi="zh-TW"/>
        </w:rPr>
        <w:t>其他需要报告的事项</w:t>
      </w:r>
    </w:p>
    <w:p w14:paraId="7584B2C2">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ascii="Times New Roman" w:hAnsi="Times New Roman" w:eastAsia="黑体" w:cs="Times New Roman"/>
          <w:color w:val="auto"/>
          <w:sz w:val="32"/>
          <w:szCs w:val="32"/>
          <w:shd w:val="clear" w:color="auto" w:fill="FFFFFF"/>
          <w:lang w:eastAsia="zh-CN"/>
        </w:rPr>
      </w:pPr>
      <w:r>
        <w:rPr>
          <w:rFonts w:hint="eastAsia" w:ascii="Times New Roman" w:hAnsi="Times New Roman" w:eastAsia="仿宋_GB2312" w:cs="仿宋_GB2312"/>
          <w:b/>
          <w:bCs/>
          <w:color w:val="auto"/>
          <w:sz w:val="32"/>
          <w:szCs w:val="32"/>
          <w:shd w:val="clear" w:color="auto" w:fill="FFFFFF"/>
          <w:lang w:val="en-US" w:eastAsia="zh-CN"/>
        </w:rPr>
        <w:t>（一）收取信息处理费的情况</w:t>
      </w:r>
    </w:p>
    <w:p w14:paraId="6BB1B43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本年度依申请公开政府信息未收取任何费用。</w:t>
      </w:r>
    </w:p>
    <w:p w14:paraId="29E0572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（二）落实上级年度政务公开工作要点情况</w:t>
      </w:r>
    </w:p>
    <w:p w14:paraId="10D93A8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2025年度市中区国有资产监督管理局严格按照上级年度政务公开工作要点开展工作，狠抓任务落实，确保完成各项工作目标。</w:t>
      </w:r>
    </w:p>
    <w:p w14:paraId="6574547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cs="Times New Roman"/>
          <w:b/>
          <w:bCs/>
          <w:color w:val="auto"/>
          <w:kern w:val="0"/>
          <w:sz w:val="32"/>
          <w:szCs w:val="32"/>
          <w:lang w:val="en-US" w:eastAsia="zh-CN" w:bidi="en-US"/>
        </w:rPr>
        <w:t>（三）</w:t>
      </w:r>
      <w:r>
        <w:rPr>
          <w:rFonts w:hint="eastAsia" w:ascii="Times New Roman" w:hAnsi="Times New Roman" w:eastAsia="仿宋_GB2312"/>
          <w:b/>
          <w:bCs/>
          <w:color w:val="auto"/>
          <w:sz w:val="32"/>
          <w:szCs w:val="32"/>
          <w:lang w:val="en-US" w:eastAsia="zh-CN"/>
        </w:rPr>
        <w:t>人大代表建议和政协委员提案办理情况</w:t>
      </w:r>
    </w:p>
    <w:p w14:paraId="471953B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2025年，市中区国有资产监督管理局未承办区级人大代表建议，</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未承办</w:t>
      </w:r>
      <w:r>
        <w:rPr>
          <w:rFonts w:hint="eastAsia"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区政协委员提案。</w:t>
      </w:r>
    </w:p>
    <w:p w14:paraId="30A07362">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left"/>
        <w:textAlignment w:val="auto"/>
        <w:rPr>
          <w:rFonts w:hint="eastAsia" w:ascii="Times New Roman" w:hAnsi="Times New Roman" w:eastAsia="仿宋_GB2312"/>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（四）本行政机关年度政务公开工作创新情况</w:t>
      </w:r>
    </w:p>
    <w:p w14:paraId="07511F9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SA"/>
          <w14:textFill>
            <w14:solidFill>
              <w14:schemeClr w14:val="tx1"/>
            </w14:solidFill>
          </w14:textFill>
        </w:rPr>
        <w:t>聚焦数字化转型深化创新，推动政务公开从单向发布向双向互动升级，提升政策传播的精准度与实效性。</w:t>
      </w:r>
    </w:p>
    <w:p w14:paraId="6A2825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7D96109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b/>
          <w:bCs/>
          <w:color w:val="auto"/>
          <w:sz w:val="32"/>
          <w:szCs w:val="32"/>
          <w:shd w:val="clear" w:color="auto" w:fill="FFFFFF"/>
          <w:lang w:val="en-US" w:eastAsia="zh-CN"/>
        </w:rPr>
      </w:pPr>
      <w:r>
        <w:rPr>
          <w:rFonts w:ascii="Times New Roman" w:hAnsi="Times New Roman" w:eastAsia="仿宋_GB2312"/>
          <w:color w:val="auto"/>
          <w:sz w:val="32"/>
          <w:szCs w:val="32"/>
          <w:shd w:val="clear" w:color="auto" w:fill="FFFFFF"/>
          <w:lang w:eastAsia="zh-CN"/>
        </w:rPr>
        <w:t>本报告所列数据的统计时限自202</w:t>
      </w:r>
      <w:r>
        <w:rPr>
          <w:rFonts w:hint="eastAsia" w:ascii="Times New Roman" w:hAnsi="Times New Roman" w:eastAsia="仿宋_GB2312"/>
          <w:color w:val="auto"/>
          <w:sz w:val="32"/>
          <w:szCs w:val="32"/>
          <w:shd w:val="clear" w:color="auto" w:fill="FFFFFF"/>
          <w:lang w:val="en-US" w:eastAsia="zh-CN"/>
        </w:rPr>
        <w:t>5</w:t>
      </w:r>
      <w:r>
        <w:rPr>
          <w:rFonts w:ascii="Times New Roman" w:hAnsi="Times New Roman" w:eastAsia="仿宋_GB2312"/>
          <w:color w:val="auto"/>
          <w:sz w:val="32"/>
          <w:szCs w:val="32"/>
          <w:shd w:val="clear" w:color="auto" w:fill="FFFFFF"/>
          <w:lang w:eastAsia="zh-CN"/>
        </w:rPr>
        <w:t>年1月1日</w:t>
      </w:r>
      <w:r>
        <w:rPr>
          <w:rFonts w:hint="eastAsia" w:ascii="Times New Roman" w:hAnsi="Times New Roman" w:eastAsia="仿宋_GB2312"/>
          <w:color w:val="auto"/>
          <w:sz w:val="32"/>
          <w:szCs w:val="32"/>
          <w:shd w:val="clear" w:color="auto" w:fill="FFFFFF"/>
          <w:lang w:val="en-US" w:eastAsia="zh-CN"/>
        </w:rPr>
        <w:t>起</w:t>
      </w:r>
      <w:r>
        <w:rPr>
          <w:rFonts w:ascii="Times New Roman" w:hAnsi="Times New Roman" w:eastAsia="仿宋_GB2312"/>
          <w:color w:val="auto"/>
          <w:sz w:val="32"/>
          <w:szCs w:val="32"/>
          <w:shd w:val="clear" w:color="auto" w:fill="FFFFFF"/>
          <w:lang w:eastAsia="zh-CN"/>
        </w:rPr>
        <w:t>至202</w:t>
      </w:r>
      <w:r>
        <w:rPr>
          <w:rFonts w:hint="eastAsia" w:ascii="Times New Roman" w:hAnsi="Times New Roman" w:eastAsia="仿宋_GB2312"/>
          <w:color w:val="auto"/>
          <w:sz w:val="32"/>
          <w:szCs w:val="32"/>
          <w:shd w:val="clear" w:color="auto" w:fill="FFFFFF"/>
          <w:lang w:val="en-US" w:eastAsia="zh-CN"/>
        </w:rPr>
        <w:t>5</w:t>
      </w:r>
      <w:r>
        <w:rPr>
          <w:rFonts w:ascii="Times New Roman" w:hAnsi="Times New Roman" w:eastAsia="仿宋_GB2312"/>
          <w:color w:val="auto"/>
          <w:sz w:val="32"/>
          <w:szCs w:val="32"/>
          <w:shd w:val="clear" w:color="auto" w:fill="FFFFFF"/>
          <w:lang w:eastAsia="zh-CN"/>
        </w:rPr>
        <w:t>年12月31日</w:t>
      </w:r>
      <w:r>
        <w:rPr>
          <w:rFonts w:hint="eastAsia" w:ascii="Times New Roman" w:hAnsi="Times New Roman" w:eastAsia="仿宋_GB2312"/>
          <w:color w:val="auto"/>
          <w:sz w:val="32"/>
          <w:szCs w:val="32"/>
          <w:shd w:val="clear" w:color="auto" w:fill="FFFFFF"/>
          <w:lang w:val="en-US" w:eastAsia="zh-CN"/>
        </w:rPr>
        <w:t>止</w:t>
      </w:r>
      <w:r>
        <w:rPr>
          <w:rFonts w:ascii="Times New Roman" w:hAnsi="Times New Roman" w:eastAsia="仿宋_GB2312"/>
          <w:color w:val="auto"/>
          <w:sz w:val="32"/>
          <w:szCs w:val="32"/>
          <w:shd w:val="clear" w:color="auto" w:fill="FFFFFF"/>
          <w:lang w:eastAsia="zh-CN"/>
        </w:rPr>
        <w:t>。如对本报告有疑问，可与</w:t>
      </w:r>
      <w:r>
        <w:rPr>
          <w:rFonts w:hint="eastAsia" w:ascii="Times New Roman" w:hAnsi="Times New Roman" w:eastAsia="仿宋_GB2312"/>
          <w:color w:val="auto"/>
          <w:sz w:val="32"/>
          <w:szCs w:val="32"/>
          <w:shd w:val="clear" w:color="auto" w:fill="FFFFFF"/>
          <w:lang w:val="en-US" w:eastAsia="zh-CN"/>
        </w:rPr>
        <w:t>市中区国有资产监督管理局</w:t>
      </w:r>
      <w:r>
        <w:rPr>
          <w:rFonts w:ascii="Times New Roman" w:hAnsi="Times New Roman" w:eastAsia="仿宋_GB2312"/>
          <w:color w:val="auto"/>
          <w:sz w:val="32"/>
          <w:szCs w:val="32"/>
          <w:shd w:val="clear" w:color="auto" w:fill="FFFFFF"/>
          <w:lang w:eastAsia="zh-CN"/>
        </w:rPr>
        <w:t>联系（地址</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lang w:val="en-US" w:eastAsia="zh-CN"/>
        </w:rPr>
        <w:t>枣庄市市中区文化西路118号</w:t>
      </w:r>
      <w:r>
        <w:rPr>
          <w:rFonts w:ascii="Times New Roman" w:hAnsi="Times New Roman" w:eastAsia="仿宋_GB2312"/>
          <w:color w:val="auto"/>
          <w:sz w:val="32"/>
          <w:szCs w:val="32"/>
          <w:shd w:val="clear" w:color="auto" w:fill="FFFFFF"/>
          <w:lang w:eastAsia="zh-CN"/>
        </w:rPr>
        <w:t>，邮编：</w:t>
      </w:r>
      <w:r>
        <w:rPr>
          <w:rFonts w:hint="eastAsia" w:ascii="Times New Roman" w:hAnsi="Times New Roman" w:eastAsia="仿宋_GB2312"/>
          <w:color w:val="auto"/>
          <w:sz w:val="32"/>
          <w:szCs w:val="32"/>
          <w:shd w:val="clear" w:color="auto" w:fill="FFFFFF"/>
          <w:lang w:val="en-US" w:eastAsia="zh-CN"/>
        </w:rPr>
        <w:t>277100</w:t>
      </w:r>
      <w:r>
        <w:rPr>
          <w:rFonts w:ascii="Times New Roman" w:hAnsi="Times New Roman" w:eastAsia="仿宋_GB2312"/>
          <w:color w:val="auto"/>
          <w:sz w:val="32"/>
          <w:szCs w:val="32"/>
          <w:shd w:val="clear" w:color="auto" w:fill="FFFFFF"/>
          <w:lang w:eastAsia="zh-CN"/>
        </w:rPr>
        <w:t>，电话：</w:t>
      </w:r>
      <w:r>
        <w:rPr>
          <w:rFonts w:hint="eastAsia" w:ascii="Times New Roman" w:hAnsi="Times New Roman" w:eastAsia="仿宋_GB2312"/>
          <w:color w:val="auto"/>
          <w:sz w:val="32"/>
          <w:szCs w:val="32"/>
          <w:shd w:val="clear" w:color="auto" w:fill="FFFFFF"/>
          <w:lang w:val="en-US" w:eastAsia="zh-CN"/>
        </w:rPr>
        <w:t>0632-3180051</w:t>
      </w:r>
      <w:r>
        <w:rPr>
          <w:rFonts w:ascii="Times New Roman" w:hAnsi="Times New Roman" w:eastAsia="仿宋_GB2312"/>
          <w:color w:val="auto"/>
          <w:sz w:val="32"/>
          <w:szCs w:val="32"/>
          <w:shd w:val="clear" w:color="auto" w:fill="FFFFFF"/>
          <w:lang w:eastAsia="zh-CN"/>
        </w:rPr>
        <w:t>，</w:t>
      </w:r>
      <w:r>
        <w:rPr>
          <w:rFonts w:hint="default" w:ascii="Times New Roman" w:hAnsi="Times New Roman" w:eastAsia="仿宋_GB2312"/>
          <w:color w:val="auto"/>
          <w:sz w:val="32"/>
          <w:szCs w:val="32"/>
          <w:shd w:val="clear" w:color="auto" w:fill="FFFFFF"/>
          <w:lang w:val="en-US" w:eastAsia="zh-CN"/>
        </w:rPr>
        <w:t>电子邮箱：szqgzj@163.com</w:t>
      </w:r>
      <w:r>
        <w:rPr>
          <w:rFonts w:ascii="Times New Roman" w:hAnsi="Times New Roman" w:eastAsia="仿宋_GB2312"/>
          <w:color w:val="auto"/>
          <w:sz w:val="32"/>
          <w:szCs w:val="32"/>
          <w:shd w:val="clear" w:color="auto" w:fill="FFFFFF"/>
          <w:lang w:eastAsia="zh-CN"/>
        </w:rPr>
        <w:t>） 。</w:t>
      </w:r>
    </w:p>
    <w:p w14:paraId="6AF0806D">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left"/>
        <w:textAlignment w:val="auto"/>
        <w:rPr>
          <w:rFonts w:hint="eastAsia" w:ascii="Times New Roman" w:hAnsi="Times New Roman" w:eastAsia="仿宋_GB2312"/>
          <w:b/>
          <w:bCs/>
          <w:color w:val="auto"/>
          <w:sz w:val="32"/>
          <w:szCs w:val="32"/>
          <w:shd w:val="clear" w:color="auto" w:fill="FFFFFF"/>
          <w:lang w:val="en-US" w:eastAsia="zh-CN"/>
        </w:rPr>
      </w:pPr>
      <w:bookmarkStart w:id="9" w:name="_GoBack"/>
      <w:bookmarkEnd w:id="9"/>
    </w:p>
    <w:p w14:paraId="688D7D6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left"/>
        <w:textAlignment w:val="auto"/>
        <w:rPr>
          <w:rFonts w:hint="eastAsia" w:ascii="Times New Roman" w:hAnsi="Times New Roman" w:eastAsia="仿宋_GB2312"/>
          <w:b/>
          <w:bCs/>
          <w:color w:val="auto"/>
          <w:sz w:val="32"/>
          <w:szCs w:val="32"/>
          <w:shd w:val="clear" w:color="auto" w:fill="FFFFFF"/>
          <w:lang w:val="en-US" w:eastAsia="zh-CN"/>
        </w:rPr>
      </w:pPr>
    </w:p>
    <w:p w14:paraId="07DE9A5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eastAsia" w:ascii="Times New Roman" w:hAnsi="Times New Roman" w:eastAsia="仿宋_GB2312"/>
          <w:b w:val="0"/>
          <w:bCs w:val="0"/>
          <w:color w:val="auto"/>
          <w:sz w:val="32"/>
          <w:szCs w:val="32"/>
          <w:shd w:val="clear" w:color="auto" w:fill="FFFFFF"/>
          <w:lang w:val="en-US" w:eastAsia="zh-CN"/>
        </w:rPr>
      </w:pPr>
      <w:r>
        <w:rPr>
          <w:rFonts w:hint="eastAsia" w:ascii="Times New Roman" w:hAnsi="Times New Roman" w:eastAsia="仿宋_GB2312"/>
          <w:b w:val="0"/>
          <w:bCs w:val="0"/>
          <w:color w:val="auto"/>
          <w:sz w:val="32"/>
          <w:szCs w:val="32"/>
          <w:shd w:val="clear" w:color="auto" w:fill="FFFFFF"/>
          <w:lang w:val="en-US" w:eastAsia="zh-CN"/>
        </w:rPr>
        <w:t>市中区国有资产监督管理局</w:t>
      </w:r>
    </w:p>
    <w:p w14:paraId="791A1C6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b w:val="0"/>
          <w:bCs w:val="0"/>
          <w:color w:val="auto"/>
          <w:sz w:val="32"/>
          <w:szCs w:val="32"/>
          <w:shd w:val="clear" w:color="auto" w:fill="FFFFFF"/>
          <w:lang w:val="en-US" w:eastAsia="zh-CN"/>
        </w:rPr>
        <w:t>2026年1月13日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E51684-A4DA-4F28-8710-631CA4FAD1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7AEB148-9F27-4DE9-8D50-664763225AD9}"/>
  </w:font>
  <w:font w:name="仿宋_GB2312">
    <w:panose1 w:val="02010609030101010101"/>
    <w:charset w:val="86"/>
    <w:family w:val="modern"/>
    <w:pitch w:val="default"/>
    <w:sig w:usb0="00000001" w:usb1="080E0000" w:usb2="00000000" w:usb3="00000000" w:csb0="00040000" w:csb1="00000000"/>
    <w:embedRegular r:id="rId3" w:fontKey="{5F6A4683-DF8A-4CE2-AC16-3FE9A0D18D07}"/>
  </w:font>
  <w:font w:name="楷体">
    <w:panose1 w:val="02010609060101010101"/>
    <w:charset w:val="86"/>
    <w:family w:val="decorative"/>
    <w:pitch w:val="default"/>
    <w:sig w:usb0="800002BF" w:usb1="38CF7CFA" w:usb2="00000016" w:usb3="00000000" w:csb0="00040001" w:csb1="00000000"/>
    <w:embedRegular r:id="rId4" w:fontKey="{560BD840-69A5-4342-AC78-399757CD7F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D21A">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4BADD">
                          <w:pPr>
                            <w:pStyle w:val="2"/>
                            <w:rPr>
                              <w:b/>
                              <w:bCs/>
                              <w:sz w:val="32"/>
                              <w:szCs w:val="32"/>
                            </w:rPr>
                          </w:pPr>
                          <w:r>
                            <w:rPr>
                              <w:b/>
                              <w:bCs/>
                              <w:sz w:val="32"/>
                              <w:szCs w:val="32"/>
                            </w:rPr>
                            <w:t xml:space="preserve">— </w:t>
                          </w:r>
                          <w:r>
                            <w:rPr>
                              <w:b/>
                              <w:bCs/>
                              <w:sz w:val="32"/>
                              <w:szCs w:val="32"/>
                            </w:rPr>
                            <w:fldChar w:fldCharType="begin"/>
                          </w:r>
                          <w:r>
                            <w:rPr>
                              <w:b/>
                              <w:bCs/>
                              <w:sz w:val="32"/>
                              <w:szCs w:val="32"/>
                            </w:rPr>
                            <w:instrText xml:space="preserve"> PAGE  \* MERGEFORMAT </w:instrText>
                          </w:r>
                          <w:r>
                            <w:rPr>
                              <w:b/>
                              <w:bCs/>
                              <w:sz w:val="32"/>
                              <w:szCs w:val="32"/>
                            </w:rPr>
                            <w:fldChar w:fldCharType="separate"/>
                          </w:r>
                          <w:r>
                            <w:rPr>
                              <w:b/>
                              <w:bCs/>
                              <w:sz w:val="32"/>
                              <w:szCs w:val="32"/>
                            </w:rPr>
                            <w:t>8</w:t>
                          </w:r>
                          <w:r>
                            <w:rPr>
                              <w:b/>
                              <w:bCs/>
                              <w:sz w:val="32"/>
                              <w:szCs w:val="32"/>
                            </w:rPr>
                            <w:fldChar w:fldCharType="end"/>
                          </w:r>
                          <w:r>
                            <w:rPr>
                              <w:b/>
                              <w:bCs/>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84BADD">
                    <w:pPr>
                      <w:pStyle w:val="2"/>
                      <w:rPr>
                        <w:b/>
                        <w:bCs/>
                        <w:sz w:val="32"/>
                        <w:szCs w:val="32"/>
                      </w:rPr>
                    </w:pPr>
                    <w:r>
                      <w:rPr>
                        <w:b/>
                        <w:bCs/>
                        <w:sz w:val="32"/>
                        <w:szCs w:val="32"/>
                      </w:rPr>
                      <w:t xml:space="preserve">— </w:t>
                    </w:r>
                    <w:r>
                      <w:rPr>
                        <w:b/>
                        <w:bCs/>
                        <w:sz w:val="32"/>
                        <w:szCs w:val="32"/>
                      </w:rPr>
                      <w:fldChar w:fldCharType="begin"/>
                    </w:r>
                    <w:r>
                      <w:rPr>
                        <w:b/>
                        <w:bCs/>
                        <w:sz w:val="32"/>
                        <w:szCs w:val="32"/>
                      </w:rPr>
                      <w:instrText xml:space="preserve"> PAGE  \* MERGEFORMAT </w:instrText>
                    </w:r>
                    <w:r>
                      <w:rPr>
                        <w:b/>
                        <w:bCs/>
                        <w:sz w:val="32"/>
                        <w:szCs w:val="32"/>
                      </w:rPr>
                      <w:fldChar w:fldCharType="separate"/>
                    </w:r>
                    <w:r>
                      <w:rPr>
                        <w:b/>
                        <w:bCs/>
                        <w:sz w:val="32"/>
                        <w:szCs w:val="32"/>
                      </w:rPr>
                      <w:t>8</w:t>
                    </w:r>
                    <w:r>
                      <w:rPr>
                        <w:b/>
                        <w:bCs/>
                        <w:sz w:val="32"/>
                        <w:szCs w:val="32"/>
                      </w:rPr>
                      <w:fldChar w:fldCharType="end"/>
                    </w:r>
                    <w:r>
                      <w:rPr>
                        <w:b/>
                        <w:bCs/>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B38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F4023"/>
    <w:multiLevelType w:val="singleLevel"/>
    <w:tmpl w:val="E33F40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B0494"/>
    <w:rsid w:val="052A527F"/>
    <w:rsid w:val="0635503F"/>
    <w:rsid w:val="088B0494"/>
    <w:rsid w:val="0D7820E8"/>
    <w:rsid w:val="0D9773A6"/>
    <w:rsid w:val="0FDC0A23"/>
    <w:rsid w:val="110A4333"/>
    <w:rsid w:val="12696EA4"/>
    <w:rsid w:val="14DE7FCA"/>
    <w:rsid w:val="1762327E"/>
    <w:rsid w:val="1A192A75"/>
    <w:rsid w:val="313930CC"/>
    <w:rsid w:val="419655A8"/>
    <w:rsid w:val="43482915"/>
    <w:rsid w:val="435117C9"/>
    <w:rsid w:val="44EB17AA"/>
    <w:rsid w:val="47206F23"/>
    <w:rsid w:val="47EC361F"/>
    <w:rsid w:val="4AD513A9"/>
    <w:rsid w:val="513C29E1"/>
    <w:rsid w:val="571E5A0F"/>
    <w:rsid w:val="5E5E642F"/>
    <w:rsid w:val="654F1498"/>
    <w:rsid w:val="70D45622"/>
    <w:rsid w:val="7B10044C"/>
    <w:rsid w:val="7F3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8">
    <w:name w:val="Other|1"/>
    <w:basedOn w:val="1"/>
    <w:qFormat/>
    <w:uiPriority w:val="0"/>
    <w:pPr>
      <w:spacing w:line="442" w:lineRule="auto"/>
      <w:ind w:firstLine="400"/>
    </w:pPr>
    <w:rPr>
      <w:rFonts w:ascii="宋体" w:hAnsi="宋体" w:eastAsia="宋体" w:cs="宋体"/>
      <w:sz w:val="28"/>
      <w:szCs w:val="28"/>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0">
    <w:name w:val="Header or footer|1"/>
    <w:basedOn w:val="1"/>
    <w:qFormat/>
    <w:uiPriority w:val="0"/>
    <w:rPr>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5f1742ae-a35a-4867-9ebc-29414b4961da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c2f4b817-8666-41eb-8309-794a11cae0e0</errorID>
      <errorWord>《</errorWord>
      <group>L1_Punc</group>
      <groupName>标点问题</groupName>
      <ability>L2_Punc</ability>
      <abilityName>标点符号检查</abilityName>
      <candidateList/>
      <explain>同一形式括号套用。</explain>
      <paraID>6482A660</paraID>
      <start>43</start>
      <end>44</end>
      <status>unmodified</status>
      <modifiedWord/>
      <trackRevisions>false</trackRevisions>
    </reviewItem>
    <reviewItem>
      <errorID>625a1aff-c6a5-43b1-a9c5-2d33a788525b</errorID>
      <errorWord>》</errorWord>
      <group>L1_Punc</group>
      <groupName>标点问题</groupName>
      <ability>L2_Punc</ability>
      <abilityName>标点符号检查</abilityName>
      <candidateList/>
      <explain>同一形式括号套用。</explain>
      <paraID>6482A660</paraID>
      <start>65</start>
      <end>66</end>
      <status>unmodified</status>
      <modifiedWord/>
      <trackRevisions>false</trackRevisions>
    </reviewItem>
    <reviewItem>
      <errorID>d43b6bf7-3d5f-4109-954b-f615779ba556</errorID>
      <errorWord>处理</errorWord>
      <group>L1_Word</group>
      <groupName>字词问题</groupName>
      <ability>L2_Typo</ability>
      <abilityName>字词错误</abilityName>
      <candidateList>
        <item>受理</item>
      </candidateList>
      <explain/>
      <paraID>3E9F936A</paraID>
      <start>22</start>
      <end>24</end>
      <status>unmodified</status>
      <modifiedWord/>
      <trackRevisions>false</trackRevisions>
    </reviewItem>
    <reviewItem>
      <errorID>db478518-a342-4f4b-ad66-d1e425090fe5</errorID>
      <errorWord>处理</errorWord>
      <group>L1_Word</group>
      <groupName>字词问题</groupName>
      <ability>L2_Typo</ability>
      <abilityName>字词错误</abilityName>
      <candidateList>
        <item>受理</item>
      </candidateList>
      <explain/>
      <paraID>5F594759</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3f97e-f9a7-4b79-a60d-3c43aa967cad}">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1895</Words>
  <Characters>2006</Characters>
  <Lines>0</Lines>
  <Paragraphs>0</Paragraphs>
  <TotalTime>1</TotalTime>
  <ScaleCrop>false</ScaleCrop>
  <LinksUpToDate>false</LinksUpToDate>
  <CharactersWithSpaces>2021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2026-01-09T02:23:00Z</dcterms:created>
  <dc:creator>绿荷红菡萏</dc:creator>
  <cp:lastModifiedBy>WPS_1696590446</cp:lastModifiedBy>
  <cp:lastPrinted>2026-01-13T03:14:00Z</cp:lastPrinted>
  <dcterms:modified xsi:type="dcterms:W3CDTF">2026-01-20T08:10:07Z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C4572652917C406B9C095DC333E85D88_11</vt:lpwstr>
  </property>
  <property fmtid="{D5CDD505-2E9C-101B-9397-08002B2CF9AE}" pid="4" name="KSOTemplateDocerSaveRecord">
    <vt:lpwstr>eyJoZGlkIjoiNDkzYTZlMjY4MTAyODBkNmE2OTFiNzgyMTI3OTE1ZjYiLCJ1c2VySWQiOiIxNTQ4MDkzMDc1In0=</vt:lpwstr>
  </property>
</Properties>
</file>