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5CBD">
      <w:pPr>
        <w:jc w:val="center"/>
        <w:rPr>
          <w:rFonts w:hint="default" w:ascii="方正小标宋简体" w:eastAsia="方正小标宋简体"/>
          <w:color w:val="auto"/>
          <w:sz w:val="44"/>
          <w:szCs w:val="44"/>
          <w:lang w:val="en-US" w:eastAsia="zh-CN"/>
        </w:rPr>
      </w:pPr>
      <w:bookmarkStart w:id="9" w:name="_GoBack"/>
      <w:r>
        <w:rPr>
          <w:rFonts w:hint="eastAsia" w:ascii="方正小标宋简体" w:hAnsi="方正小标宋简体" w:eastAsia="方正小标宋简体"/>
          <w:color w:val="auto"/>
          <w:sz w:val="44"/>
          <w:szCs w:val="44"/>
          <w:lang w:val="en-US" w:eastAsia="zh-CN"/>
        </w:rPr>
        <w:t>市中区科学技术局</w:t>
      </w:r>
    </w:p>
    <w:p w14:paraId="3A0BBB99">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4</w:t>
      </w:r>
      <w:r>
        <w:rPr>
          <w:rFonts w:hint="eastAsia" w:ascii="方正小标宋简体" w:hAnsi="方正小标宋简体" w:eastAsia="方正小标宋简体"/>
          <w:color w:val="auto"/>
          <w:sz w:val="44"/>
          <w:szCs w:val="44"/>
          <w:lang w:eastAsia="zh-CN"/>
        </w:rPr>
        <w:t>年政府信息公开工作年度报告</w:t>
      </w:r>
    </w:p>
    <w:p w14:paraId="1C5AD060">
      <w:pPr>
        <w:ind w:firstLine="640" w:firstLineChars="200"/>
        <w:rPr>
          <w:rFonts w:eastAsia="黑体"/>
          <w:color w:val="auto"/>
          <w:sz w:val="32"/>
          <w:szCs w:val="32"/>
          <w:shd w:val="clear" w:color="auto" w:fill="FFFFFF"/>
          <w:lang w:eastAsia="zh-CN"/>
        </w:rPr>
      </w:pPr>
    </w:p>
    <w:p w14:paraId="076DD7B9">
      <w:pPr>
        <w:keepNext w:val="0"/>
        <w:keepLines w:val="0"/>
        <w:pageBreakBefore w:val="0"/>
        <w:widowControl/>
        <w:kinsoku/>
        <w:wordWrap/>
        <w:overflowPunct/>
        <w:topLinePunct w:val="0"/>
        <w:autoSpaceDE/>
        <w:autoSpaceDN/>
        <w:bidi w:val="0"/>
        <w:adjustRightInd/>
        <w:snapToGrid/>
        <w:spacing w:line="580" w:lineRule="exact"/>
        <w:ind w:firstLine="640" w:firstLineChars="200"/>
        <w:contextualSpacing/>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根据《中华人民共和国政府信息公开条例》、《国务院办公厅政府信息与政务公开办公室关于印发《中华人民共和国政府信息公开工作年度报告格式》的通知》（国办公开办函〔20</w:t>
      </w:r>
      <w:r>
        <w:rPr>
          <w:rFonts w:hint="default" w:ascii="Times New Roman" w:hAnsi="Times New Roman" w:eastAsia="仿宋_GB2312" w:cs="Times New Roman"/>
          <w:color w:val="auto"/>
          <w:sz w:val="32"/>
          <w:szCs w:val="32"/>
          <w:shd w:val="clear" w:color="auto" w:fill="FFFFFF"/>
          <w:lang w:val="en-US" w:eastAsia="zh-CN"/>
        </w:rPr>
        <w:t>21</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30</w:t>
      </w:r>
      <w:r>
        <w:rPr>
          <w:rFonts w:hint="default" w:ascii="Times New Roman" w:hAnsi="Times New Roman" w:eastAsia="仿宋_GB2312" w:cs="Times New Roman"/>
          <w:color w:val="auto"/>
          <w:sz w:val="32"/>
          <w:szCs w:val="32"/>
          <w:shd w:val="clear" w:color="auto" w:fill="FFFFFF"/>
          <w:lang w:eastAsia="zh-CN"/>
        </w:rPr>
        <w:t>号）和省、</w:t>
      </w:r>
      <w:r>
        <w:rPr>
          <w:rFonts w:hint="default" w:ascii="Times New Roman" w:hAnsi="Times New Roman" w:eastAsia="仿宋_GB2312" w:cs="Times New Roman"/>
          <w:color w:val="auto"/>
          <w:sz w:val="32"/>
          <w:szCs w:val="32"/>
          <w:shd w:val="clear" w:color="auto" w:fill="FFFFFF"/>
          <w:lang w:val="en-US" w:eastAsia="zh-CN"/>
        </w:rPr>
        <w:t>市</w:t>
      </w:r>
      <w:r>
        <w:rPr>
          <w:rFonts w:hint="default" w:ascii="Times New Roman" w:hAnsi="Times New Roman" w:eastAsia="仿宋_GB2312" w:cs="Times New Roman"/>
          <w:color w:val="auto"/>
          <w:sz w:val="32"/>
          <w:szCs w:val="32"/>
          <w:shd w:val="clear" w:color="auto" w:fill="FFFFFF"/>
          <w:lang w:eastAsia="zh-CN"/>
        </w:rPr>
        <w:t>有关工作要求，编制本报告并向社会公开。本年度报告电子版可从</w:t>
      </w:r>
      <w:r>
        <w:rPr>
          <w:rFonts w:hint="default" w:ascii="Times New Roman" w:hAnsi="Times New Roman" w:eastAsia="仿宋_GB2312" w:cs="Times New Roman"/>
          <w:color w:val="auto"/>
          <w:sz w:val="32"/>
          <w:szCs w:val="32"/>
          <w:shd w:val="clear" w:color="auto" w:fill="FFFFFF"/>
          <w:lang w:val="en-US" w:eastAsia="zh-CN"/>
        </w:rPr>
        <w:t>市中区</w:t>
      </w:r>
      <w:r>
        <w:rPr>
          <w:rFonts w:hint="default" w:ascii="Times New Roman" w:hAnsi="Times New Roman" w:eastAsia="仿宋_GB2312" w:cs="Times New Roman"/>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hint="default" w:ascii="Times New Roman" w:hAnsi="Times New Roman" w:eastAsia="仿宋_GB2312" w:cs="Times New Roman"/>
          <w:color w:val="auto"/>
          <w:sz w:val="32"/>
          <w:szCs w:val="32"/>
          <w:shd w:val="clear" w:color="auto" w:fill="FFFFFF"/>
          <w:lang w:eastAsia="zh-CN"/>
        </w:rPr>
        <w:t>）查阅或下载。本报告所列数据的统计</w:t>
      </w:r>
      <w:r>
        <w:rPr>
          <w:rFonts w:hint="default" w:ascii="Times New Roman" w:hAnsi="Times New Roman" w:eastAsia="仿宋_GB2312" w:cs="Times New Roman"/>
          <w:color w:val="auto"/>
          <w:sz w:val="32"/>
          <w:szCs w:val="32"/>
          <w:shd w:val="clear" w:color="auto" w:fill="FFFFFF"/>
          <w:lang w:val="en-US" w:eastAsia="zh-CN"/>
        </w:rPr>
        <w:t>期</w:t>
      </w:r>
      <w:r>
        <w:rPr>
          <w:rFonts w:hint="default" w:ascii="Times New Roman" w:hAnsi="Times New Roman" w:eastAsia="仿宋_GB2312" w:cs="Times New Roman"/>
          <w:color w:val="auto"/>
          <w:sz w:val="32"/>
          <w:szCs w:val="32"/>
          <w:shd w:val="clear" w:color="auto" w:fill="FFFFFF"/>
          <w:lang w:eastAsia="zh-CN"/>
        </w:rPr>
        <w:t>限自202</w:t>
      </w:r>
      <w:r>
        <w:rPr>
          <w:rFonts w:hint="eastAsia"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年1月1日</w:t>
      </w:r>
      <w:r>
        <w:rPr>
          <w:rFonts w:hint="default" w:ascii="Times New Roman" w:hAnsi="Times New Roman" w:eastAsia="仿宋_GB2312" w:cs="Times New Roman"/>
          <w:color w:val="auto"/>
          <w:sz w:val="32"/>
          <w:szCs w:val="32"/>
          <w:shd w:val="clear" w:color="auto" w:fill="FFFFFF"/>
          <w:lang w:val="en-US" w:eastAsia="zh-CN"/>
        </w:rPr>
        <w:t>起</w:t>
      </w:r>
      <w:r>
        <w:rPr>
          <w:rFonts w:hint="default" w:ascii="Times New Roman" w:hAnsi="Times New Roman" w:eastAsia="仿宋_GB2312" w:cs="Times New Roman"/>
          <w:color w:val="auto"/>
          <w:sz w:val="32"/>
          <w:szCs w:val="32"/>
          <w:shd w:val="clear" w:color="auto" w:fill="FFFFFF"/>
          <w:lang w:eastAsia="zh-CN"/>
        </w:rPr>
        <w:t>至202</w:t>
      </w:r>
      <w:r>
        <w:rPr>
          <w:rFonts w:hint="eastAsia"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年12月31日</w:t>
      </w:r>
      <w:r>
        <w:rPr>
          <w:rFonts w:hint="default" w:ascii="Times New Roman" w:hAnsi="Times New Roman" w:eastAsia="仿宋_GB2312" w:cs="Times New Roman"/>
          <w:color w:val="auto"/>
          <w:sz w:val="32"/>
          <w:szCs w:val="32"/>
          <w:shd w:val="clear" w:color="auto" w:fill="FFFFFF"/>
          <w:lang w:val="en-US" w:eastAsia="zh-CN"/>
        </w:rPr>
        <w:t>止</w:t>
      </w:r>
      <w:r>
        <w:rPr>
          <w:rFonts w:hint="default" w:ascii="Times New Roman" w:hAnsi="Times New Roman" w:eastAsia="仿宋_GB2312" w:cs="Times New Roman"/>
          <w:color w:val="auto"/>
          <w:sz w:val="32"/>
          <w:szCs w:val="32"/>
          <w:shd w:val="clear" w:color="auto" w:fill="FFFFFF"/>
          <w:lang w:eastAsia="zh-CN"/>
        </w:rPr>
        <w:t>。如对本报告有疑问，可与市中区科学技术局联系（地址:</w:t>
      </w:r>
      <w:r>
        <w:rPr>
          <w:rFonts w:hint="default" w:ascii="Times New Roman" w:hAnsi="Times New Roman" w:eastAsia="仿宋_GB2312" w:cs="Times New Roman"/>
          <w:color w:val="auto"/>
          <w:sz w:val="32"/>
          <w:szCs w:val="32"/>
          <w:shd w:val="clear" w:color="auto" w:fill="FFFFFF"/>
          <w:lang w:val="en-US" w:eastAsia="zh-CN"/>
        </w:rPr>
        <w:t>枣庄市市中区君山中路</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321</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号</w:t>
      </w:r>
      <w:r>
        <w:rPr>
          <w:rFonts w:hint="default" w:ascii="Times New Roman" w:hAnsi="Times New Roman" w:eastAsia="仿宋_GB2312" w:cs="Times New Roman"/>
          <w:color w:val="auto"/>
          <w:sz w:val="32"/>
          <w:szCs w:val="32"/>
          <w:shd w:val="clear" w:color="auto" w:fill="FFFFFF"/>
          <w:lang w:eastAsia="zh-CN"/>
        </w:rPr>
        <w:t>，邮编：</w:t>
      </w:r>
      <w:r>
        <w:rPr>
          <w:rFonts w:hint="default" w:ascii="Times New Roman" w:hAnsi="Times New Roman" w:eastAsia="仿宋_GB2312" w:cs="Times New Roman"/>
          <w:color w:val="auto"/>
          <w:sz w:val="32"/>
          <w:szCs w:val="32"/>
          <w:shd w:val="clear" w:color="auto" w:fill="FFFFFF"/>
          <w:lang w:val="en-US" w:eastAsia="zh-CN"/>
        </w:rPr>
        <w:t>277100</w:t>
      </w:r>
      <w:r>
        <w:rPr>
          <w:rFonts w:hint="default" w:ascii="Times New Roman" w:hAnsi="Times New Roman" w:eastAsia="仿宋_GB2312" w:cs="Times New Roman"/>
          <w:color w:val="auto"/>
          <w:sz w:val="32"/>
          <w:szCs w:val="32"/>
          <w:shd w:val="clear" w:color="auto" w:fill="FFFFFF"/>
          <w:lang w:eastAsia="zh-CN"/>
        </w:rPr>
        <w:t>，电话：</w:t>
      </w:r>
      <w:r>
        <w:rPr>
          <w:rFonts w:hint="default" w:ascii="Times New Roman" w:hAnsi="Times New Roman" w:eastAsia="仿宋_GB2312" w:cs="Times New Roman"/>
          <w:color w:val="auto"/>
          <w:sz w:val="32"/>
          <w:szCs w:val="32"/>
          <w:shd w:val="clear" w:color="auto" w:fill="FFFFFF"/>
          <w:lang w:val="en-US" w:eastAsia="zh-CN"/>
        </w:rPr>
        <w:t>0632-3083197，电子邮箱：zzszkj@163.com</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eastAsia="zh-CN"/>
        </w:rPr>
        <w:t>。</w:t>
      </w:r>
    </w:p>
    <w:p w14:paraId="1369A9F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14:paraId="46B17EE3">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cs="Times New Roman"/>
          <w:b w:val="0"/>
          <w:bCs w:val="0"/>
          <w:color w:val="auto"/>
          <w:kern w:val="0"/>
          <w:sz w:val="32"/>
          <w:szCs w:val="32"/>
          <w:shd w:val="clear" w:color="auto" w:fill="FFFFFF"/>
          <w:lang w:val="en-US" w:eastAsia="zh-CN" w:bidi="en-US"/>
        </w:rPr>
        <w:t>4</w:t>
      </w:r>
      <w:r>
        <w:rPr>
          <w:rFonts w:hint="default" w:ascii="Times New Roman" w:hAnsi="Times New Roman" w:eastAsia="仿宋_GB2312" w:cs="Times New Roman"/>
          <w:b w:val="0"/>
          <w:bCs w:val="0"/>
          <w:color w:val="auto"/>
          <w:kern w:val="0"/>
          <w:sz w:val="32"/>
          <w:szCs w:val="32"/>
          <w:shd w:val="clear" w:color="auto" w:fill="FFFFFF"/>
          <w:lang w:val="en-US" w:eastAsia="zh-CN" w:bidi="en-US"/>
        </w:rPr>
        <w:t>年，区科学技术</w:t>
      </w:r>
      <w:r>
        <w:rPr>
          <w:rFonts w:hint="eastAsia" w:ascii="Times New Roman" w:hAnsi="Times New Roman" w:eastAsia="仿宋_GB2312" w:cs="Times New Roman"/>
          <w:b w:val="0"/>
          <w:bCs w:val="0"/>
          <w:color w:val="auto"/>
          <w:kern w:val="0"/>
          <w:sz w:val="32"/>
          <w:szCs w:val="32"/>
          <w:shd w:val="clear" w:color="auto" w:fill="FFFFFF"/>
          <w:lang w:val="en-US" w:eastAsia="zh-CN" w:bidi="en-US"/>
        </w:rPr>
        <w:t>局认真贯彻落实《中华人民共和国政府信息公开条例》，着力健全完善信息公开工作体系，强化信息公开载体建设，结合我局工作实际，进一步健全组织机构，完善信息公开机制，强化各项工作措施，在扩大公众知情权、满足公众信息需求方面取得了积极成效。</w:t>
      </w:r>
    </w:p>
    <w:p w14:paraId="75278462">
      <w:pPr>
        <w:keepNext w:val="0"/>
        <w:keepLines w:val="0"/>
        <w:pageBreakBefore w:val="0"/>
        <w:widowControl/>
        <w:kinsoku/>
        <w:wordWrap/>
        <w:overflowPunct/>
        <w:topLinePunct w:val="0"/>
        <w:autoSpaceDE/>
        <w:autoSpaceDN/>
        <w:bidi w:val="0"/>
        <w:adjustRightInd/>
        <w:snapToGrid/>
        <w:spacing w:line="580" w:lineRule="exact"/>
        <w:ind w:firstLine="640" w:firstLineChars="200"/>
        <w:contextualSpacing/>
        <w:textAlignment w:val="auto"/>
        <w:rPr>
          <w:rFonts w:hint="eastAsia" w:ascii="仿宋_GB2312" w:hAnsi="仿宋_GB2312" w:eastAsia="仿宋_GB2312" w:cs="仿宋_GB2312"/>
          <w:bCs/>
          <w:color w:val="auto"/>
          <w:sz w:val="32"/>
          <w:szCs w:val="32"/>
          <w:lang w:val="en-US"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14:paraId="4BAA109B">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eastAsia"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cs="Times New Roman"/>
          <w:b w:val="0"/>
          <w:bCs w:val="0"/>
          <w:color w:val="auto"/>
          <w:kern w:val="0"/>
          <w:sz w:val="32"/>
          <w:szCs w:val="32"/>
          <w:shd w:val="clear" w:color="auto" w:fill="FFFFFF"/>
          <w:lang w:val="en-US" w:eastAsia="zh-CN" w:bidi="en-US"/>
        </w:rPr>
        <w:t>4</w:t>
      </w:r>
      <w:r>
        <w:rPr>
          <w:rFonts w:hint="eastAsia" w:ascii="Times New Roman" w:hAnsi="Times New Roman" w:eastAsia="仿宋_GB2312" w:cs="Times New Roman"/>
          <w:b w:val="0"/>
          <w:bCs w:val="0"/>
          <w:color w:val="auto"/>
          <w:kern w:val="0"/>
          <w:sz w:val="32"/>
          <w:szCs w:val="32"/>
          <w:shd w:val="clear" w:color="auto" w:fill="FFFFFF"/>
          <w:lang w:val="en-US" w:eastAsia="zh-CN" w:bidi="en-US"/>
        </w:rPr>
        <w:t>年，我局主动公开信息</w:t>
      </w:r>
      <w:r>
        <w:rPr>
          <w:rFonts w:hint="eastAsia" w:ascii="Times New Roman" w:hAnsi="Times New Roman" w:cs="Times New Roman"/>
          <w:b w:val="0"/>
          <w:bCs w:val="0"/>
          <w:color w:val="auto"/>
          <w:kern w:val="0"/>
          <w:sz w:val="32"/>
          <w:szCs w:val="32"/>
          <w:shd w:val="clear" w:color="auto" w:fill="FFFFFF"/>
          <w:lang w:val="en-US" w:eastAsia="zh-CN" w:bidi="en-US"/>
        </w:rPr>
        <w:t>44</w:t>
      </w:r>
      <w:r>
        <w:rPr>
          <w:rFonts w:hint="eastAsia" w:ascii="Times New Roman" w:hAnsi="Times New Roman" w:eastAsia="仿宋_GB2312" w:cs="Times New Roman"/>
          <w:b w:val="0"/>
          <w:bCs w:val="0"/>
          <w:color w:val="auto"/>
          <w:kern w:val="0"/>
          <w:sz w:val="32"/>
          <w:szCs w:val="32"/>
          <w:shd w:val="clear" w:color="auto" w:fill="FFFFFF"/>
          <w:lang w:val="en-US" w:eastAsia="zh-CN" w:bidi="en-US"/>
        </w:rPr>
        <w:t>条，均在区政府门户网站公开</w:t>
      </w:r>
      <w:r>
        <w:rPr>
          <w:rFonts w:hint="default" w:ascii="Times New Roman" w:hAnsi="Times New Roman" w:eastAsia="仿宋_GB2312" w:cs="Times New Roman"/>
          <w:b w:val="0"/>
          <w:bCs w:val="0"/>
          <w:color w:val="auto"/>
          <w:kern w:val="0"/>
          <w:sz w:val="32"/>
          <w:szCs w:val="32"/>
          <w:shd w:val="clear" w:color="auto" w:fill="FFFFFF"/>
          <w:lang w:val="en-US" w:eastAsia="zh-CN" w:bidi="en-US"/>
        </w:rPr>
        <w:t>，完善更新了领导班子分工情况及主要负责人</w:t>
      </w:r>
      <w:r>
        <w:rPr>
          <w:rFonts w:hint="eastAsia" w:ascii="Times New Roman" w:hAnsi="Times New Roman" w:eastAsia="仿宋_GB2312" w:cs="Times New Roman"/>
          <w:b w:val="0"/>
          <w:bCs w:val="0"/>
          <w:color w:val="auto"/>
          <w:kern w:val="0"/>
          <w:sz w:val="32"/>
          <w:szCs w:val="32"/>
          <w:shd w:val="clear" w:color="auto" w:fill="FFFFFF"/>
          <w:lang w:val="en-US" w:eastAsia="zh-CN" w:bidi="en-US"/>
        </w:rPr>
        <w:t>等相关</w:t>
      </w:r>
      <w:r>
        <w:rPr>
          <w:rFonts w:hint="default" w:ascii="Times New Roman" w:hAnsi="Times New Roman" w:eastAsia="仿宋_GB2312" w:cs="Times New Roman"/>
          <w:b w:val="0"/>
          <w:bCs w:val="0"/>
          <w:color w:val="auto"/>
          <w:kern w:val="0"/>
          <w:sz w:val="32"/>
          <w:szCs w:val="32"/>
          <w:shd w:val="clear" w:color="auto" w:fill="FFFFFF"/>
          <w:lang w:val="en-US" w:eastAsia="zh-CN" w:bidi="en-US"/>
        </w:rPr>
        <w:t>信息。</w:t>
      </w:r>
    </w:p>
    <w:p w14:paraId="0DA4E50A">
      <w:pPr>
        <w:keepNext w:val="0"/>
        <w:keepLines w:val="0"/>
        <w:pageBreakBefore w:val="0"/>
        <w:widowControl/>
        <w:kinsoku/>
        <w:wordWrap/>
        <w:overflowPunct/>
        <w:topLinePunct w:val="0"/>
        <w:autoSpaceDE/>
        <w:autoSpaceDN/>
        <w:bidi w:val="0"/>
        <w:adjustRightInd/>
        <w:snapToGrid/>
        <w:spacing w:line="580" w:lineRule="exact"/>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14:paraId="4545FC4A">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1、收到和处理政府信息公开申请情况：</w:t>
      </w:r>
    </w:p>
    <w:p w14:paraId="545127C4">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202</w:t>
      </w:r>
      <w:r>
        <w:rPr>
          <w:rFonts w:hint="eastAsia" w:ascii="Times New Roman" w:hAnsi="Times New Roman" w:cs="Times New Roman"/>
          <w:b w:val="0"/>
          <w:bCs w:val="0"/>
          <w:color w:val="auto"/>
          <w:kern w:val="0"/>
          <w:sz w:val="32"/>
          <w:szCs w:val="32"/>
          <w:shd w:val="clear" w:color="auto" w:fill="FFFFFF"/>
          <w:lang w:val="en-US" w:eastAsia="zh-CN" w:bidi="en-US"/>
        </w:rPr>
        <w:t>4</w:t>
      </w:r>
      <w:r>
        <w:rPr>
          <w:rFonts w:hint="default" w:ascii="Times New Roman" w:hAnsi="Times New Roman" w:eastAsia="仿宋_GB2312" w:cs="Times New Roman"/>
          <w:b w:val="0"/>
          <w:bCs w:val="0"/>
          <w:color w:val="auto"/>
          <w:kern w:val="0"/>
          <w:sz w:val="32"/>
          <w:szCs w:val="32"/>
          <w:shd w:val="clear" w:color="auto" w:fill="FFFFFF"/>
          <w:lang w:val="en-US" w:eastAsia="zh-CN" w:bidi="en-US"/>
        </w:rPr>
        <w:t>年，市中区科学技术局未收到政府信息公开申请。</w:t>
      </w:r>
    </w:p>
    <w:p w14:paraId="67EB0738">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2、收费和减免情况：</w:t>
      </w:r>
    </w:p>
    <w:p w14:paraId="7AABBE4E">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市中区科学技术局无收费和减免情况。</w:t>
      </w:r>
    </w:p>
    <w:p w14:paraId="0A9A29AB">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3、政府信息公开行政复议、行政诉讼情况：</w:t>
      </w:r>
    </w:p>
    <w:p w14:paraId="73AC5773">
      <w:pPr>
        <w:pStyle w:val="2"/>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rPr>
          <w:rFonts w:hint="default" w:ascii="Times New Roman" w:hAnsi="Times New Roman" w:eastAsia="仿宋_GB2312" w:cs="Times New Roman"/>
          <w:b w:val="0"/>
          <w:bCs w:val="0"/>
          <w:color w:val="auto"/>
          <w:kern w:val="0"/>
          <w:sz w:val="32"/>
          <w:szCs w:val="32"/>
          <w:shd w:val="clear" w:color="auto" w:fill="FFFFFF"/>
          <w:lang w:val="en-US" w:eastAsia="zh-CN" w:bidi="en-US"/>
        </w:rPr>
      </w:pPr>
      <w:r>
        <w:rPr>
          <w:rFonts w:hint="default" w:ascii="Times New Roman" w:hAnsi="Times New Roman" w:eastAsia="仿宋_GB2312" w:cs="Times New Roman"/>
          <w:b w:val="0"/>
          <w:bCs w:val="0"/>
          <w:color w:val="auto"/>
          <w:kern w:val="0"/>
          <w:sz w:val="32"/>
          <w:szCs w:val="32"/>
          <w:shd w:val="clear" w:color="auto" w:fill="FFFFFF"/>
          <w:lang w:val="en-US" w:eastAsia="zh-CN" w:bidi="en-US"/>
        </w:rPr>
        <w:t>市中区科学技术局全年未发生因政府信息公开被行政复议、 提起行政诉讼情况。</w:t>
      </w:r>
    </w:p>
    <w:p w14:paraId="02716FD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14:paraId="6D9B4FF4">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一是完善信息公开管理流程，安排专人负责信息公开传送。</w:t>
      </w:r>
    </w:p>
    <w:p w14:paraId="3451A110">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14:paraId="26AA33CF">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eastAsia="zh-CN" w:bidi="ar-SA"/>
        </w:rPr>
      </w:pPr>
      <w:r>
        <w:rPr>
          <w:rFonts w:hint="default" w:ascii="Times New Roman" w:hAnsi="Times New Roman" w:eastAsia="仿宋_GB2312" w:cs="Times New Roman"/>
          <w:color w:val="auto"/>
          <w:sz w:val="32"/>
          <w:szCs w:val="32"/>
          <w:shd w:val="clear" w:color="auto" w:fill="FFFFFF"/>
          <w:lang w:eastAsia="zh-CN"/>
        </w:rPr>
        <w:t>三是不断完善公开制度机制。202</w:t>
      </w:r>
      <w:r>
        <w:rPr>
          <w:rFonts w:hint="eastAsia" w:eastAsia="仿宋_GB2312" w:cs="Times New Roman"/>
          <w:color w:val="auto"/>
          <w:sz w:val="32"/>
          <w:szCs w:val="32"/>
          <w:shd w:val="clear" w:color="auto" w:fill="FFFFFF"/>
          <w:lang w:val="en-US" w:eastAsia="zh-CN"/>
        </w:rPr>
        <w:t>4</w:t>
      </w:r>
      <w:r>
        <w:rPr>
          <w:rFonts w:hint="default" w:ascii="Times New Roman" w:hAnsi="Times New Roman" w:eastAsia="仿宋_GB2312" w:cs="Times New Roman"/>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14:paraId="7B03535B">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14:paraId="66E41CC7">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依托“</w:t>
      </w:r>
      <w:r>
        <w:rPr>
          <w:rFonts w:hint="eastAsia" w:ascii="仿宋_GB2312" w:hAnsi="仿宋_GB2312" w:eastAsia="仿宋_GB2312" w:cs="仿宋_GB2312"/>
          <w:color w:val="auto"/>
          <w:sz w:val="32"/>
          <w:szCs w:val="32"/>
          <w:shd w:val="clear" w:color="auto" w:fill="FFFFFF"/>
          <w:lang w:val="en-US" w:eastAsia="zh-CN"/>
        </w:rPr>
        <w:t>枣庄市市中区人民政府</w:t>
      </w:r>
      <w:r>
        <w:rPr>
          <w:rFonts w:hint="eastAsia" w:ascii="仿宋_GB2312" w:hAnsi="仿宋_GB2312" w:eastAsia="仿宋_GB2312" w:cs="仿宋_GB2312"/>
          <w:color w:val="auto"/>
          <w:sz w:val="32"/>
          <w:szCs w:val="32"/>
          <w:shd w:val="clear" w:color="auto" w:fill="FFFFFF"/>
          <w:lang w:eastAsia="zh-CN"/>
        </w:rPr>
        <w:t>网站”“幸福微市中”</w:t>
      </w:r>
      <w:r>
        <w:rPr>
          <w:rFonts w:hint="eastAsia" w:ascii="仿宋_GB2312" w:hAnsi="仿宋_GB2312" w:eastAsia="仿宋_GB2312" w:cs="仿宋_GB2312"/>
          <w:color w:val="auto"/>
          <w:sz w:val="32"/>
          <w:szCs w:val="32"/>
          <w:shd w:val="clear" w:color="auto" w:fill="FFFFFF"/>
          <w:lang w:val="en-US" w:eastAsia="zh-CN"/>
        </w:rPr>
        <w:t>政务新媒体</w:t>
      </w:r>
      <w:r>
        <w:rPr>
          <w:rFonts w:hint="eastAsia" w:ascii="仿宋_GB2312" w:hAnsi="仿宋_GB2312" w:eastAsia="仿宋_GB2312" w:cs="仿宋_GB2312"/>
          <w:color w:val="auto"/>
          <w:sz w:val="32"/>
          <w:szCs w:val="32"/>
          <w:shd w:val="clear" w:color="auto" w:fill="FFFFFF"/>
          <w:lang w:eastAsia="zh-CN"/>
        </w:rPr>
        <w:t>等平台发布信息，推动政务公开信息向不同群体精准推送，提升群众获取政府信息的便利度和幸福感。</w:t>
      </w:r>
    </w:p>
    <w:p w14:paraId="5947F2B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hint="eastAsia" w:ascii="Times New Roman" w:hAnsi="Times New Roman" w:eastAsia="仿宋_GB2312" w:cs="Times New Roman"/>
          <w:color w:val="auto"/>
          <w:sz w:val="32"/>
          <w:szCs w:val="32"/>
          <w:lang w:val="en-US"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14:paraId="3591777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根据工作需要和人员变动情况，调整了区科学技术局政务公开工作领导小组，局办公室具体负责政务公开日常工作。</w:t>
      </w:r>
    </w:p>
    <w:p w14:paraId="79D6990D">
      <w:pPr>
        <w:pStyle w:val="11"/>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14:paraId="5BCAB9C7">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4D3124C">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14:paraId="55DA529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DF54349">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4E6825D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D7B0163">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1829D912">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14:paraId="3725EAC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9760172">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top"/>
          </w:tcPr>
          <w:p w14:paraId="4F775B25">
            <w:pPr>
              <w:pStyle w:val="13"/>
              <w:spacing w:before="133"/>
              <w:ind w:left="11"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14:paraId="6DAA5DF8">
            <w:pPr>
              <w:pStyle w:val="13"/>
              <w:spacing w:before="133"/>
              <w:ind w:left="9"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14:paraId="37C7096F">
            <w:pPr>
              <w:pStyle w:val="13"/>
              <w:spacing w:before="133"/>
              <w:ind w:left="9" w:leftChars="0"/>
              <w:jc w:val="center"/>
              <w:rPr>
                <w:rFonts w:ascii="仿宋_GB2312" w:hAnsi="Calibri" w:eastAsia="仿宋_GB2312" w:cs="Calibri"/>
                <w:color w:val="auto"/>
                <w:kern w:val="0"/>
                <w:szCs w:val="21"/>
              </w:rPr>
            </w:pPr>
            <w:r>
              <w:rPr>
                <w:color w:val="auto"/>
                <w:w w:val="100"/>
                <w:sz w:val="22"/>
              </w:rPr>
              <w:t>0</w:t>
            </w:r>
          </w:p>
        </w:tc>
      </w:tr>
      <w:tr w14:paraId="0C44C017">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0A15918">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top"/>
          </w:tcPr>
          <w:p w14:paraId="0B76B11F">
            <w:pPr>
              <w:pStyle w:val="13"/>
              <w:spacing w:before="136"/>
              <w:ind w:left="11"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14:paraId="2B407415">
            <w:pPr>
              <w:pStyle w:val="13"/>
              <w:spacing w:before="136"/>
              <w:ind w:left="9" w:leftChars="0"/>
              <w:jc w:val="center"/>
              <w:rPr>
                <w:rFonts w:ascii="仿宋_GB2312" w:hAnsi="宋体" w:eastAsia="仿宋_GB2312" w:cs="宋体"/>
                <w:color w:val="auto"/>
                <w:kern w:val="0"/>
                <w:szCs w:val="21"/>
              </w:rPr>
            </w:pPr>
            <w:r>
              <w:rPr>
                <w:color w:val="auto"/>
                <w:w w:val="100"/>
                <w:sz w:val="22"/>
              </w:rPr>
              <w:t>0</w:t>
            </w:r>
          </w:p>
        </w:tc>
        <w:tc>
          <w:tcPr>
            <w:tcW w:w="2206" w:type="dxa"/>
            <w:tcBorders>
              <w:top w:val="nil"/>
              <w:left w:val="nil"/>
              <w:bottom w:val="single" w:color="auto" w:sz="8" w:space="0"/>
              <w:right w:val="single" w:color="auto" w:sz="8" w:space="0"/>
            </w:tcBorders>
            <w:shd w:val="clear" w:color="auto" w:fill="auto"/>
            <w:vAlign w:val="top"/>
          </w:tcPr>
          <w:p w14:paraId="4A340861">
            <w:pPr>
              <w:pStyle w:val="13"/>
              <w:spacing w:before="136"/>
              <w:ind w:left="9" w:leftChars="0"/>
              <w:jc w:val="center"/>
              <w:rPr>
                <w:rFonts w:ascii="仿宋_GB2312" w:hAnsi="Calibri" w:eastAsia="仿宋_GB2312" w:cs="Calibri"/>
                <w:color w:val="auto"/>
                <w:kern w:val="0"/>
                <w:szCs w:val="21"/>
              </w:rPr>
            </w:pPr>
            <w:r>
              <w:rPr>
                <w:color w:val="auto"/>
                <w:w w:val="100"/>
                <w:sz w:val="22"/>
              </w:rPr>
              <w:t>0</w:t>
            </w:r>
          </w:p>
        </w:tc>
      </w:tr>
      <w:tr w14:paraId="5690BD96">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0856383">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14:paraId="07555BA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8D7E4C6">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6AFE57D">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4B22EE9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08E45B0">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6BA01A8">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14:paraId="780D1BFF">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441577F">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14:paraId="4BB6B01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62BDC86">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B4E1A2D">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14:paraId="12AB66C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4C625151">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B420CDF">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5498F39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1C498C2">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78FE5132">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14:paraId="62DF813A">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99AC8B6">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14:paraId="40EB40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2AED9C1">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8922D7E">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14:paraId="6515434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9691285">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91E1B46">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14:paraId="2D9FDC6D">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黑体" w:cs="Times New Roman"/>
          <w:bCs/>
          <w:color w:val="auto"/>
          <w:sz w:val="32"/>
          <w:szCs w:val="32"/>
          <w:lang w:eastAsia="zh-CN"/>
        </w:rPr>
      </w:pPr>
    </w:p>
    <w:p w14:paraId="260D3B46">
      <w:pPr>
        <w:pStyle w:val="11"/>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val="en-US" w:eastAsia="zh-CN"/>
        </w:rPr>
      </w:pPr>
    </w:p>
    <w:p w14:paraId="47C3995F">
      <w:pPr>
        <w:pStyle w:val="11"/>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val="en-US" w:eastAsia="zh-CN"/>
        </w:rPr>
      </w:pPr>
    </w:p>
    <w:p w14:paraId="6ED51CD4">
      <w:pPr>
        <w:pStyle w:val="11"/>
        <w:keepNext w:val="0"/>
        <w:keepLines w:val="0"/>
        <w:pageBreakBefore w:val="0"/>
        <w:kinsoku/>
        <w:wordWrap/>
        <w:overflowPunct/>
        <w:topLinePunct w:val="0"/>
        <w:autoSpaceDE/>
        <w:autoSpaceDN/>
        <w:bidi w:val="0"/>
        <w:adjustRightInd/>
        <w:snapToGrid/>
        <w:spacing w:line="560" w:lineRule="exact"/>
        <w:ind w:firstLine="600"/>
        <w:textAlignment w:val="auto"/>
        <w:rPr>
          <w:rFonts w:hint="eastAsia" w:ascii="Times New Roman" w:hAnsi="Times New Roman" w:eastAsia="黑体" w:cs="Times New Roman"/>
          <w:bCs/>
          <w:color w:val="auto"/>
          <w:sz w:val="32"/>
          <w:szCs w:val="32"/>
          <w:lang w:val="en-US" w:eastAsia="zh-CN"/>
        </w:rPr>
      </w:pPr>
    </w:p>
    <w:p w14:paraId="53F20EC4">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color w:val="auto"/>
          <w:sz w:val="32"/>
          <w:szCs w:val="32"/>
          <w:lang w:eastAsia="zh-CN"/>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493C2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DEA3D9C">
            <w:pPr>
              <w:widowControl/>
              <w:jc w:val="center"/>
              <w:rPr>
                <w:rFonts w:ascii="楷体_GB2312" w:hAnsi="黑体" w:eastAsia="楷体_GB2312" w:cs="Times New Roman"/>
                <w:color w:val="auto"/>
                <w:kern w:val="0"/>
                <w:sz w:val="21"/>
                <w:szCs w:val="21"/>
                <w:lang w:eastAsia="zh-CN" w:bidi="ar-SA"/>
              </w:rPr>
            </w:pPr>
            <w:r>
              <w:rPr>
                <w:rFonts w:hint="eastAsia" w:ascii="楷体_GB2312" w:hAnsi="黑体" w:eastAsia="楷体_GB2312" w:cs="Times New Roman"/>
                <w:color w:val="auto"/>
                <w:kern w:val="0"/>
                <w:sz w:val="21"/>
                <w:szCs w:val="21"/>
                <w:lang w:eastAsia="zh-CN" w:bidi="ar-SA"/>
              </w:rPr>
              <w:t>（本列数据的勾稽关系为：第一项加第二项之和，</w:t>
            </w:r>
          </w:p>
          <w:p w14:paraId="3933E819">
            <w:pPr>
              <w:widowControl/>
              <w:jc w:val="center"/>
              <w:rPr>
                <w:rFonts w:ascii="仿宋_GB2312" w:hAnsi="Times New Roman" w:eastAsia="仿宋_GB2312" w:cs="Times New Roman"/>
                <w:color w:val="auto"/>
                <w:kern w:val="2"/>
                <w:sz w:val="21"/>
                <w:szCs w:val="21"/>
                <w:lang w:eastAsia="zh-CN" w:bidi="ar-SA"/>
              </w:rPr>
            </w:pPr>
            <w:r>
              <w:rPr>
                <w:rFonts w:hint="eastAsia" w:ascii="楷体_GB2312" w:hAnsi="黑体" w:eastAsia="楷体_GB2312" w:cs="Times New Roman"/>
                <w:color w:val="auto"/>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14:paraId="5E8C76A4">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申请人情况</w:t>
            </w:r>
          </w:p>
        </w:tc>
      </w:tr>
      <w:tr w14:paraId="69FEC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57AE1C36">
            <w:pPr>
              <w:jc w:val="center"/>
              <w:rPr>
                <w:rFonts w:ascii="仿宋_GB2312" w:hAnsi="Times New Roman" w:eastAsia="仿宋_GB2312" w:cs="Times New Roman"/>
                <w:color w:val="auto"/>
                <w:kern w:val="2"/>
                <w:sz w:val="21"/>
                <w:szCs w:val="21"/>
                <w:lang w:eastAsia="zh-CN" w:bidi="ar-SA"/>
              </w:rPr>
            </w:pPr>
          </w:p>
        </w:tc>
        <w:tc>
          <w:tcPr>
            <w:tcW w:w="829" w:type="dxa"/>
            <w:vMerge w:val="restart"/>
            <w:shd w:val="clear" w:color="auto" w:fill="auto"/>
            <w:tcMar>
              <w:left w:w="108" w:type="dxa"/>
              <w:right w:w="108" w:type="dxa"/>
            </w:tcMar>
            <w:vAlign w:val="center"/>
          </w:tcPr>
          <w:p w14:paraId="7B76B97F">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自然人</w:t>
            </w:r>
          </w:p>
        </w:tc>
        <w:tc>
          <w:tcPr>
            <w:tcW w:w="3140" w:type="dxa"/>
            <w:gridSpan w:val="5"/>
            <w:shd w:val="clear" w:color="auto" w:fill="auto"/>
            <w:tcMar>
              <w:left w:w="108" w:type="dxa"/>
              <w:right w:w="108" w:type="dxa"/>
            </w:tcMar>
            <w:vAlign w:val="center"/>
          </w:tcPr>
          <w:p w14:paraId="6FBB9BEC">
            <w:pPr>
              <w:widowControl/>
              <w:spacing w:line="320" w:lineRule="exact"/>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14:paraId="7BA00678">
            <w:pPr>
              <w:widowControl/>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总计</w:t>
            </w:r>
          </w:p>
        </w:tc>
      </w:tr>
      <w:tr w14:paraId="51199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2EF5D891">
            <w:pPr>
              <w:jc w:val="center"/>
              <w:rPr>
                <w:rFonts w:ascii="仿宋_GB2312" w:hAnsi="Times New Roman" w:eastAsia="仿宋_GB2312" w:cs="Times New Roman"/>
                <w:color w:val="auto"/>
                <w:kern w:val="2"/>
                <w:sz w:val="21"/>
                <w:szCs w:val="21"/>
                <w:lang w:eastAsia="zh-CN" w:bidi="ar-SA"/>
              </w:rPr>
            </w:pPr>
          </w:p>
        </w:tc>
        <w:tc>
          <w:tcPr>
            <w:tcW w:w="829" w:type="dxa"/>
            <w:vMerge w:val="continue"/>
            <w:shd w:val="clear" w:color="auto" w:fill="auto"/>
            <w:tcMar>
              <w:left w:w="108" w:type="dxa"/>
              <w:right w:w="108" w:type="dxa"/>
            </w:tcMar>
            <w:vAlign w:val="center"/>
          </w:tcPr>
          <w:p w14:paraId="6BBDA2A2">
            <w:pPr>
              <w:jc w:val="center"/>
              <w:rPr>
                <w:rFonts w:ascii="黑体" w:hAnsi="黑体" w:eastAsia="黑体" w:cs="Times New Roman"/>
                <w:color w:val="auto"/>
                <w:kern w:val="2"/>
                <w:sz w:val="21"/>
                <w:szCs w:val="21"/>
                <w:lang w:eastAsia="zh-CN" w:bidi="ar-SA"/>
              </w:rPr>
            </w:pPr>
          </w:p>
        </w:tc>
        <w:tc>
          <w:tcPr>
            <w:tcW w:w="567" w:type="dxa"/>
            <w:shd w:val="clear" w:color="auto" w:fill="auto"/>
            <w:tcMar>
              <w:left w:w="108" w:type="dxa"/>
              <w:right w:w="108" w:type="dxa"/>
            </w:tcMar>
            <w:vAlign w:val="center"/>
          </w:tcPr>
          <w:p w14:paraId="68018826">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商业企业</w:t>
            </w:r>
          </w:p>
        </w:tc>
        <w:tc>
          <w:tcPr>
            <w:tcW w:w="567" w:type="dxa"/>
            <w:shd w:val="clear" w:color="auto" w:fill="auto"/>
            <w:tcMar>
              <w:left w:w="108" w:type="dxa"/>
              <w:right w:w="108" w:type="dxa"/>
            </w:tcMar>
            <w:vAlign w:val="center"/>
          </w:tcPr>
          <w:p w14:paraId="5142FBB4">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科研机构</w:t>
            </w:r>
          </w:p>
        </w:tc>
        <w:tc>
          <w:tcPr>
            <w:tcW w:w="731" w:type="dxa"/>
            <w:shd w:val="clear" w:color="auto" w:fill="auto"/>
            <w:tcMar>
              <w:left w:w="108" w:type="dxa"/>
              <w:right w:w="108" w:type="dxa"/>
            </w:tcMar>
            <w:vAlign w:val="center"/>
          </w:tcPr>
          <w:p w14:paraId="67BBB880">
            <w:pPr>
              <w:widowControl/>
              <w:spacing w:line="320" w:lineRule="exact"/>
              <w:ind w:left="-122" w:leftChars="-51" w:right="-122" w:rightChars="-5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社会公益组织</w:t>
            </w:r>
          </w:p>
        </w:tc>
        <w:tc>
          <w:tcPr>
            <w:tcW w:w="708" w:type="dxa"/>
            <w:shd w:val="clear" w:color="auto" w:fill="auto"/>
            <w:tcMar>
              <w:left w:w="108" w:type="dxa"/>
              <w:right w:w="108" w:type="dxa"/>
            </w:tcMar>
            <w:vAlign w:val="center"/>
          </w:tcPr>
          <w:p w14:paraId="4F847109">
            <w:pPr>
              <w:widowControl/>
              <w:spacing w:line="320" w:lineRule="exact"/>
              <w:ind w:left="-121" w:leftChars="-51" w:right="-122" w:rightChars="-51" w:hanging="1"/>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法律服务机构</w:t>
            </w:r>
          </w:p>
        </w:tc>
        <w:tc>
          <w:tcPr>
            <w:tcW w:w="567" w:type="dxa"/>
            <w:shd w:val="clear" w:color="auto" w:fill="auto"/>
            <w:tcMar>
              <w:left w:w="108" w:type="dxa"/>
              <w:right w:w="108" w:type="dxa"/>
            </w:tcMar>
            <w:vAlign w:val="center"/>
          </w:tcPr>
          <w:p w14:paraId="5D083EA6">
            <w:pPr>
              <w:widowControl/>
              <w:spacing w:line="360" w:lineRule="exact"/>
              <w:ind w:left="-72" w:leftChars="-30" w:right="-154" w:rightChars="-64"/>
              <w:jc w:val="center"/>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其他</w:t>
            </w:r>
          </w:p>
        </w:tc>
        <w:tc>
          <w:tcPr>
            <w:tcW w:w="851" w:type="dxa"/>
            <w:vMerge w:val="continue"/>
            <w:shd w:val="clear" w:color="auto" w:fill="auto"/>
            <w:tcMar>
              <w:left w:w="108" w:type="dxa"/>
              <w:right w:w="108" w:type="dxa"/>
            </w:tcMar>
            <w:vAlign w:val="center"/>
          </w:tcPr>
          <w:p w14:paraId="4C9FC7AF">
            <w:pPr>
              <w:jc w:val="center"/>
              <w:rPr>
                <w:rFonts w:ascii="仿宋_GB2312" w:hAnsi="Times New Roman" w:eastAsia="仿宋_GB2312" w:cs="Times New Roman"/>
                <w:color w:val="auto"/>
                <w:kern w:val="2"/>
                <w:sz w:val="21"/>
                <w:szCs w:val="21"/>
                <w:lang w:eastAsia="zh-CN" w:bidi="ar-SA"/>
              </w:rPr>
            </w:pPr>
          </w:p>
        </w:tc>
      </w:tr>
      <w:tr w14:paraId="30A628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E082B5C">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w:t>
            </w:r>
            <w:bookmarkStart w:id="0" w:name="_Hlk66973412"/>
            <w:r>
              <w:rPr>
                <w:rFonts w:hint="eastAsia" w:ascii="黑体" w:hAnsi="黑体" w:eastAsia="黑体" w:cs="Times New Roman"/>
                <w:color w:val="auto"/>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top"/>
          </w:tcPr>
          <w:p w14:paraId="2E20775B">
            <w:pPr>
              <w:pStyle w:val="13"/>
              <w:spacing w:before="17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E35AD01">
            <w:pPr>
              <w:pStyle w:val="13"/>
              <w:spacing w:before="17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882F932">
            <w:pPr>
              <w:pStyle w:val="13"/>
              <w:spacing w:before="17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614D510F">
            <w:pPr>
              <w:pStyle w:val="13"/>
              <w:spacing w:before="17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756D7AE8">
            <w:pPr>
              <w:pStyle w:val="13"/>
              <w:spacing w:before="17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242C38C">
            <w:pPr>
              <w:pStyle w:val="13"/>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B904842">
            <w:pPr>
              <w:pStyle w:val="13"/>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10D8A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42C71562">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二、上年结转政府信息公开申请数量</w:t>
            </w:r>
          </w:p>
        </w:tc>
        <w:tc>
          <w:tcPr>
            <w:tcW w:w="829" w:type="dxa"/>
            <w:shd w:val="clear" w:color="auto" w:fill="auto"/>
            <w:tcMar>
              <w:left w:w="108" w:type="dxa"/>
              <w:right w:w="108" w:type="dxa"/>
            </w:tcMar>
            <w:vAlign w:val="top"/>
          </w:tcPr>
          <w:p w14:paraId="6EAD6320">
            <w:pPr>
              <w:pStyle w:val="13"/>
              <w:spacing w:before="15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2ED12AC">
            <w:pPr>
              <w:pStyle w:val="13"/>
              <w:spacing w:before="15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D4E801E">
            <w:pPr>
              <w:pStyle w:val="13"/>
              <w:spacing w:before="15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E3347E3">
            <w:pPr>
              <w:pStyle w:val="13"/>
              <w:spacing w:before="15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2E2336C6">
            <w:pPr>
              <w:pStyle w:val="13"/>
              <w:spacing w:before="15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968B0D1">
            <w:pPr>
              <w:pStyle w:val="13"/>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64E2EC80">
            <w:pPr>
              <w:pStyle w:val="13"/>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5AE277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63DA6E50">
            <w:pPr>
              <w:widowControl/>
              <w:spacing w:after="180"/>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14:paraId="24A797DA">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（一）予以公开</w:t>
            </w:r>
          </w:p>
        </w:tc>
        <w:tc>
          <w:tcPr>
            <w:tcW w:w="829" w:type="dxa"/>
            <w:shd w:val="clear" w:color="auto" w:fill="auto"/>
            <w:tcMar>
              <w:left w:w="108" w:type="dxa"/>
              <w:right w:w="108" w:type="dxa"/>
            </w:tcMar>
            <w:vAlign w:val="top"/>
          </w:tcPr>
          <w:p w14:paraId="177FC2D3">
            <w:pPr>
              <w:pStyle w:val="13"/>
              <w:spacing w:before="162"/>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CE0335F">
            <w:pPr>
              <w:pStyle w:val="13"/>
              <w:spacing w:before="162"/>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9E130F2">
            <w:pPr>
              <w:pStyle w:val="13"/>
              <w:spacing w:before="162"/>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A5820C6">
            <w:pPr>
              <w:pStyle w:val="13"/>
              <w:spacing w:before="162"/>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03A213B5">
            <w:pPr>
              <w:pStyle w:val="13"/>
              <w:spacing w:before="162"/>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A192B5E">
            <w:pPr>
              <w:pStyle w:val="13"/>
              <w:spacing w:before="162"/>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1BF92EA0">
            <w:pPr>
              <w:pStyle w:val="13"/>
              <w:spacing w:before="162"/>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12EB4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D39BC0D">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14:paraId="17ACCA16">
            <w:pPr>
              <w:widowControl/>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（二）部分公开（</w:t>
            </w:r>
            <w:bookmarkStart w:id="1" w:name="_Hlk66973981"/>
            <w:r>
              <w:rPr>
                <w:rFonts w:hint="eastAsia" w:ascii="黑体" w:hAnsi="黑体" w:eastAsia="黑体" w:cs="Times New Roman"/>
                <w:color w:val="auto"/>
                <w:kern w:val="0"/>
                <w:sz w:val="21"/>
                <w:szCs w:val="21"/>
                <w:lang w:eastAsia="zh-CN" w:bidi="ar-SA"/>
              </w:rPr>
              <w:t>区分处理的，只计这一情形，不计其他情形</w:t>
            </w:r>
            <w:bookmarkEnd w:id="1"/>
            <w:r>
              <w:rPr>
                <w:rFonts w:hint="eastAsia" w:ascii="黑体" w:hAnsi="黑体" w:eastAsia="黑体" w:cs="Times New Roman"/>
                <w:color w:val="auto"/>
                <w:kern w:val="0"/>
                <w:sz w:val="21"/>
                <w:szCs w:val="21"/>
                <w:lang w:eastAsia="zh-CN" w:bidi="ar-SA"/>
              </w:rPr>
              <w:t>）</w:t>
            </w:r>
          </w:p>
        </w:tc>
        <w:tc>
          <w:tcPr>
            <w:tcW w:w="829" w:type="dxa"/>
            <w:shd w:val="clear" w:color="auto" w:fill="auto"/>
            <w:tcMar>
              <w:left w:w="108" w:type="dxa"/>
              <w:right w:w="108" w:type="dxa"/>
            </w:tcMar>
            <w:vAlign w:val="top"/>
          </w:tcPr>
          <w:p w14:paraId="6191E278">
            <w:pPr>
              <w:pStyle w:val="13"/>
              <w:spacing w:before="0"/>
              <w:ind w:left="0"/>
              <w:rPr>
                <w:rFonts w:ascii="黑体"/>
                <w:b/>
                <w:color w:val="auto"/>
                <w:sz w:val="26"/>
              </w:rPr>
            </w:pPr>
          </w:p>
          <w:p w14:paraId="14821BDB">
            <w:pPr>
              <w:pStyle w:val="13"/>
              <w:spacing w:before="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A6ACE48">
            <w:pPr>
              <w:pStyle w:val="13"/>
              <w:spacing w:before="0"/>
              <w:ind w:left="0"/>
              <w:rPr>
                <w:rFonts w:ascii="黑体"/>
                <w:b/>
                <w:color w:val="auto"/>
                <w:sz w:val="26"/>
              </w:rPr>
            </w:pPr>
          </w:p>
          <w:p w14:paraId="31F2D0A4">
            <w:pPr>
              <w:pStyle w:val="13"/>
              <w:spacing w:before="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E7C50E9">
            <w:pPr>
              <w:pStyle w:val="13"/>
              <w:spacing w:before="0"/>
              <w:ind w:left="0"/>
              <w:rPr>
                <w:rFonts w:ascii="黑体"/>
                <w:b/>
                <w:color w:val="auto"/>
                <w:sz w:val="26"/>
              </w:rPr>
            </w:pPr>
          </w:p>
          <w:p w14:paraId="2F073725">
            <w:pPr>
              <w:pStyle w:val="13"/>
              <w:spacing w:before="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FEF3641">
            <w:pPr>
              <w:pStyle w:val="13"/>
              <w:spacing w:before="0"/>
              <w:ind w:left="0"/>
              <w:rPr>
                <w:rFonts w:ascii="黑体"/>
                <w:b/>
                <w:color w:val="auto"/>
                <w:sz w:val="26"/>
              </w:rPr>
            </w:pPr>
          </w:p>
          <w:p w14:paraId="546073A7">
            <w:pPr>
              <w:pStyle w:val="13"/>
              <w:spacing w:before="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4847F619">
            <w:pPr>
              <w:pStyle w:val="13"/>
              <w:spacing w:before="0"/>
              <w:ind w:left="0"/>
              <w:rPr>
                <w:rFonts w:ascii="黑体"/>
                <w:b/>
                <w:color w:val="auto"/>
                <w:sz w:val="26"/>
              </w:rPr>
            </w:pPr>
          </w:p>
          <w:p w14:paraId="77B0C27D">
            <w:pPr>
              <w:pStyle w:val="13"/>
              <w:spacing w:before="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AA01CCF">
            <w:pPr>
              <w:pStyle w:val="13"/>
              <w:spacing w:before="0"/>
              <w:ind w:left="0"/>
              <w:rPr>
                <w:rFonts w:ascii="黑体"/>
                <w:b/>
                <w:color w:val="auto"/>
                <w:sz w:val="26"/>
              </w:rPr>
            </w:pPr>
          </w:p>
          <w:p w14:paraId="21530DEF">
            <w:pPr>
              <w:pStyle w:val="13"/>
              <w:spacing w:before="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9406623">
            <w:pPr>
              <w:pStyle w:val="13"/>
              <w:spacing w:before="0"/>
              <w:ind w:left="0"/>
              <w:rPr>
                <w:rFonts w:ascii="黑体"/>
                <w:b/>
                <w:color w:val="auto"/>
                <w:sz w:val="26"/>
              </w:rPr>
            </w:pPr>
          </w:p>
          <w:p w14:paraId="0905D39F">
            <w:pPr>
              <w:pStyle w:val="13"/>
              <w:spacing w:before="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4677EA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7488DB">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198165B8">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（三）不予公开</w:t>
            </w:r>
          </w:p>
        </w:tc>
        <w:tc>
          <w:tcPr>
            <w:tcW w:w="2976" w:type="dxa"/>
            <w:shd w:val="clear" w:color="auto" w:fill="auto"/>
            <w:tcMar>
              <w:left w:w="108" w:type="dxa"/>
              <w:right w:w="108" w:type="dxa"/>
            </w:tcMar>
            <w:vAlign w:val="center"/>
          </w:tcPr>
          <w:p w14:paraId="3561F18F">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1.属于国家秘密</w:t>
            </w:r>
          </w:p>
        </w:tc>
        <w:tc>
          <w:tcPr>
            <w:tcW w:w="829" w:type="dxa"/>
            <w:shd w:val="clear" w:color="auto" w:fill="auto"/>
            <w:tcMar>
              <w:left w:w="108" w:type="dxa"/>
              <w:right w:w="108" w:type="dxa"/>
            </w:tcMar>
            <w:vAlign w:val="top"/>
          </w:tcPr>
          <w:p w14:paraId="2B9995F2">
            <w:pPr>
              <w:pStyle w:val="13"/>
              <w:spacing w:before="95"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8477DA3">
            <w:pPr>
              <w:pStyle w:val="13"/>
              <w:spacing w:before="95"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A184348">
            <w:pPr>
              <w:pStyle w:val="13"/>
              <w:spacing w:before="95"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E226343">
            <w:pPr>
              <w:pStyle w:val="13"/>
              <w:spacing w:before="95"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2C3FD186">
            <w:pPr>
              <w:pStyle w:val="13"/>
              <w:spacing w:before="95"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9043051">
            <w:pPr>
              <w:pStyle w:val="13"/>
              <w:spacing w:before="95"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E7DA346">
            <w:pPr>
              <w:pStyle w:val="13"/>
              <w:spacing w:before="95"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6682A1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E5622F8">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5ED9F839">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4E4E3778">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2" w:name="_Hlk66974104"/>
            <w:r>
              <w:rPr>
                <w:rFonts w:hint="eastAsia" w:ascii="仿宋_GB2312" w:hAnsi="黑体" w:eastAsia="仿宋_GB2312" w:cs="Times New Roman"/>
                <w:color w:val="auto"/>
                <w:kern w:val="0"/>
                <w:sz w:val="21"/>
                <w:szCs w:val="21"/>
                <w:lang w:eastAsia="zh-CN" w:bidi="ar-SA"/>
              </w:rPr>
              <w:t>其他法律行政法规禁止公开</w:t>
            </w:r>
            <w:bookmarkEnd w:id="2"/>
          </w:p>
        </w:tc>
        <w:tc>
          <w:tcPr>
            <w:tcW w:w="829" w:type="dxa"/>
            <w:shd w:val="clear" w:color="auto" w:fill="auto"/>
            <w:tcMar>
              <w:left w:w="108" w:type="dxa"/>
              <w:right w:w="108" w:type="dxa"/>
            </w:tcMar>
            <w:vAlign w:val="top"/>
          </w:tcPr>
          <w:p w14:paraId="0E1AB0F4">
            <w:pPr>
              <w:pStyle w:val="13"/>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2F846FC">
            <w:pPr>
              <w:pStyle w:val="13"/>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6414817">
            <w:pPr>
              <w:pStyle w:val="13"/>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56DC68A">
            <w:pPr>
              <w:pStyle w:val="13"/>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00EBC912">
            <w:pPr>
              <w:pStyle w:val="13"/>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4D21A66">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01804AA">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60B348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EB1F04">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04A8A7ED">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10DC90F7">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3.危及“三安全一稳定”</w:t>
            </w:r>
          </w:p>
        </w:tc>
        <w:tc>
          <w:tcPr>
            <w:tcW w:w="829" w:type="dxa"/>
            <w:shd w:val="clear" w:color="auto" w:fill="auto"/>
            <w:tcMar>
              <w:left w:w="108" w:type="dxa"/>
              <w:right w:w="108" w:type="dxa"/>
            </w:tcMar>
            <w:vAlign w:val="top"/>
          </w:tcPr>
          <w:p w14:paraId="561EA6B9">
            <w:pPr>
              <w:pStyle w:val="13"/>
              <w:spacing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BEC2EB0">
            <w:pPr>
              <w:pStyle w:val="13"/>
              <w:spacing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8798015">
            <w:pPr>
              <w:pStyle w:val="13"/>
              <w:spacing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6F02100A">
            <w:pPr>
              <w:pStyle w:val="13"/>
              <w:spacing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374B92AB">
            <w:pPr>
              <w:pStyle w:val="13"/>
              <w:spacing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C77851D">
            <w:pPr>
              <w:pStyle w:val="13"/>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12EC3C50">
            <w:pPr>
              <w:pStyle w:val="13"/>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001BD1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33501D">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2DFB8A34">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29BA09EF">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4.</w:t>
            </w:r>
            <w:bookmarkStart w:id="3" w:name="_Hlk66974290"/>
            <w:r>
              <w:rPr>
                <w:rFonts w:hint="eastAsia" w:ascii="仿宋_GB2312" w:hAnsi="黑体" w:eastAsia="仿宋_GB2312" w:cs="Times New Roman"/>
                <w:color w:val="auto"/>
                <w:kern w:val="0"/>
                <w:sz w:val="21"/>
                <w:szCs w:val="21"/>
                <w:lang w:eastAsia="zh-CN" w:bidi="ar-SA"/>
              </w:rPr>
              <w:t>保护第三方合法权益</w:t>
            </w:r>
            <w:bookmarkEnd w:id="3"/>
          </w:p>
        </w:tc>
        <w:tc>
          <w:tcPr>
            <w:tcW w:w="829" w:type="dxa"/>
            <w:shd w:val="clear" w:color="auto" w:fill="auto"/>
            <w:tcMar>
              <w:left w:w="108" w:type="dxa"/>
              <w:right w:w="108" w:type="dxa"/>
            </w:tcMar>
            <w:vAlign w:val="top"/>
          </w:tcPr>
          <w:p w14:paraId="4B019FFF">
            <w:pPr>
              <w:pStyle w:val="13"/>
              <w:spacing w:line="241"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D83E7ED">
            <w:pPr>
              <w:pStyle w:val="13"/>
              <w:spacing w:line="241"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5F7E099">
            <w:pPr>
              <w:pStyle w:val="13"/>
              <w:spacing w:line="241"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131A0090">
            <w:pPr>
              <w:pStyle w:val="13"/>
              <w:spacing w:line="241"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0FB68A4B">
            <w:pPr>
              <w:pStyle w:val="13"/>
              <w:spacing w:line="241"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CEE0DBF">
            <w:pPr>
              <w:pStyle w:val="13"/>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1216F941">
            <w:pPr>
              <w:pStyle w:val="13"/>
              <w:spacing w:line="241"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8CAF7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F5F4D32">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34A251D2">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55DF0217">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5.属于三类内部事务信息</w:t>
            </w:r>
          </w:p>
        </w:tc>
        <w:tc>
          <w:tcPr>
            <w:tcW w:w="829" w:type="dxa"/>
            <w:shd w:val="clear" w:color="auto" w:fill="auto"/>
            <w:tcMar>
              <w:left w:w="108" w:type="dxa"/>
              <w:right w:w="108" w:type="dxa"/>
            </w:tcMar>
            <w:vAlign w:val="top"/>
          </w:tcPr>
          <w:p w14:paraId="2161A371">
            <w:pPr>
              <w:pStyle w:val="13"/>
              <w:spacing w:line="23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F3D8E9F">
            <w:pPr>
              <w:pStyle w:val="13"/>
              <w:spacing w:line="23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9F66CC4">
            <w:pPr>
              <w:pStyle w:val="13"/>
              <w:spacing w:line="23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1B3CD329">
            <w:pPr>
              <w:pStyle w:val="13"/>
              <w:spacing w:line="23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619A270E">
            <w:pPr>
              <w:pStyle w:val="13"/>
              <w:spacing w:line="23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6638416">
            <w:pPr>
              <w:pStyle w:val="13"/>
              <w:spacing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7FA86696">
            <w:pPr>
              <w:pStyle w:val="13"/>
              <w:spacing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27E8B6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1D5451F">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458B02BA">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79EB081D">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6.</w:t>
            </w:r>
            <w:bookmarkStart w:id="4" w:name="_Hlk66974555"/>
            <w:r>
              <w:rPr>
                <w:rFonts w:hint="eastAsia" w:ascii="仿宋_GB2312" w:hAnsi="黑体" w:eastAsia="仿宋_GB2312" w:cs="Times New Roman"/>
                <w:color w:val="auto"/>
                <w:kern w:val="0"/>
                <w:sz w:val="21"/>
                <w:szCs w:val="21"/>
                <w:lang w:eastAsia="zh-CN" w:bidi="ar-SA"/>
              </w:rPr>
              <w:t>属于四类过程性信息</w:t>
            </w:r>
            <w:bookmarkEnd w:id="4"/>
          </w:p>
        </w:tc>
        <w:tc>
          <w:tcPr>
            <w:tcW w:w="829" w:type="dxa"/>
            <w:shd w:val="clear" w:color="auto" w:fill="auto"/>
            <w:tcMar>
              <w:left w:w="108" w:type="dxa"/>
              <w:right w:w="108" w:type="dxa"/>
            </w:tcMar>
            <w:vAlign w:val="top"/>
          </w:tcPr>
          <w:p w14:paraId="1E208F3D">
            <w:pPr>
              <w:pStyle w:val="13"/>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B13B5B0">
            <w:pPr>
              <w:pStyle w:val="13"/>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6B41AC3">
            <w:pPr>
              <w:pStyle w:val="13"/>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679A94E2">
            <w:pPr>
              <w:pStyle w:val="13"/>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71058F51">
            <w:pPr>
              <w:pStyle w:val="13"/>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65614BC">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820827A">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7978E1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93A210B">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4C7E482">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3ADC7328">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7.属于行政执法案卷</w:t>
            </w:r>
          </w:p>
        </w:tc>
        <w:tc>
          <w:tcPr>
            <w:tcW w:w="829" w:type="dxa"/>
            <w:shd w:val="clear" w:color="auto" w:fill="auto"/>
            <w:tcMar>
              <w:left w:w="108" w:type="dxa"/>
              <w:right w:w="108" w:type="dxa"/>
            </w:tcMar>
            <w:vAlign w:val="top"/>
          </w:tcPr>
          <w:p w14:paraId="3FBCF721">
            <w:pPr>
              <w:pStyle w:val="13"/>
              <w:spacing w:line="24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1D0247B">
            <w:pPr>
              <w:pStyle w:val="13"/>
              <w:spacing w:line="24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FCF3446">
            <w:pPr>
              <w:pStyle w:val="13"/>
              <w:spacing w:line="24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7E99DC9C">
            <w:pPr>
              <w:pStyle w:val="13"/>
              <w:spacing w:line="24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4ABE77C2">
            <w:pPr>
              <w:pStyle w:val="13"/>
              <w:spacing w:line="24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8234509">
            <w:pPr>
              <w:pStyle w:val="13"/>
              <w:spacing w:line="24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8677232">
            <w:pPr>
              <w:pStyle w:val="13"/>
              <w:spacing w:line="24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0ED9BC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45BFB68">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A39CFFC">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AB116C4">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8.</w:t>
            </w:r>
            <w:bookmarkStart w:id="5" w:name="_Hlk66975211"/>
            <w:r>
              <w:rPr>
                <w:rFonts w:hint="eastAsia" w:ascii="仿宋_GB2312" w:hAnsi="黑体" w:eastAsia="仿宋_GB2312" w:cs="Times New Roman"/>
                <w:color w:val="auto"/>
                <w:kern w:val="0"/>
                <w:sz w:val="21"/>
                <w:szCs w:val="21"/>
                <w:lang w:eastAsia="zh-CN" w:bidi="ar-SA"/>
              </w:rPr>
              <w:t>属于行政查询事项</w:t>
            </w:r>
            <w:bookmarkEnd w:id="5"/>
          </w:p>
        </w:tc>
        <w:tc>
          <w:tcPr>
            <w:tcW w:w="829" w:type="dxa"/>
            <w:shd w:val="clear" w:color="auto" w:fill="auto"/>
            <w:tcMar>
              <w:left w:w="108" w:type="dxa"/>
              <w:right w:w="108" w:type="dxa"/>
            </w:tcMar>
            <w:vAlign w:val="top"/>
          </w:tcPr>
          <w:p w14:paraId="50D503B6">
            <w:pPr>
              <w:pStyle w:val="13"/>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839BDBD">
            <w:pPr>
              <w:pStyle w:val="13"/>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5E69D53">
            <w:pPr>
              <w:pStyle w:val="13"/>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0A8B1EA">
            <w:pPr>
              <w:pStyle w:val="13"/>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601F7757">
            <w:pPr>
              <w:pStyle w:val="13"/>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DFABF42">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5EA41AF">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64674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F5D050E">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206A42D1">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（四）无法提供</w:t>
            </w:r>
          </w:p>
        </w:tc>
        <w:tc>
          <w:tcPr>
            <w:tcW w:w="2976" w:type="dxa"/>
            <w:shd w:val="clear" w:color="auto" w:fill="auto"/>
            <w:tcMar>
              <w:left w:w="108" w:type="dxa"/>
              <w:right w:w="108" w:type="dxa"/>
            </w:tcMar>
            <w:vAlign w:val="center"/>
          </w:tcPr>
          <w:p w14:paraId="693CF1B3">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1.本机关不掌握相关政府信息</w:t>
            </w:r>
          </w:p>
        </w:tc>
        <w:tc>
          <w:tcPr>
            <w:tcW w:w="829" w:type="dxa"/>
            <w:shd w:val="clear" w:color="auto" w:fill="auto"/>
            <w:tcMar>
              <w:left w:w="108" w:type="dxa"/>
              <w:right w:w="108" w:type="dxa"/>
            </w:tcMar>
            <w:vAlign w:val="top"/>
          </w:tcPr>
          <w:p w14:paraId="07D45F80">
            <w:pPr>
              <w:pStyle w:val="13"/>
              <w:spacing w:before="129" w:line="239"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A090504">
            <w:pPr>
              <w:pStyle w:val="13"/>
              <w:spacing w:before="129" w:line="239"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1A44B3E">
            <w:pPr>
              <w:pStyle w:val="13"/>
              <w:spacing w:before="129" w:line="239"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4781C1B">
            <w:pPr>
              <w:pStyle w:val="13"/>
              <w:spacing w:before="129" w:line="239"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725B828D">
            <w:pPr>
              <w:pStyle w:val="13"/>
              <w:spacing w:before="129" w:line="239"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0067FDC">
            <w:pPr>
              <w:pStyle w:val="13"/>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068137F">
            <w:pPr>
              <w:pStyle w:val="13"/>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4BD3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7077BA1">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228A2055">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7BEC9870">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w:t>
            </w:r>
            <w:bookmarkStart w:id="6" w:name="_Hlk66975392"/>
            <w:r>
              <w:rPr>
                <w:rFonts w:hint="eastAsia" w:ascii="仿宋_GB2312" w:hAnsi="黑体" w:eastAsia="仿宋_GB2312" w:cs="Times New Roman"/>
                <w:color w:val="auto"/>
                <w:kern w:val="0"/>
                <w:sz w:val="21"/>
                <w:szCs w:val="21"/>
                <w:lang w:eastAsia="zh-CN" w:bidi="ar-SA"/>
              </w:rPr>
              <w:t>没有现成信息需要另行制作</w:t>
            </w:r>
            <w:bookmarkEnd w:id="6"/>
          </w:p>
        </w:tc>
        <w:tc>
          <w:tcPr>
            <w:tcW w:w="829" w:type="dxa"/>
            <w:shd w:val="clear" w:color="auto" w:fill="auto"/>
            <w:tcMar>
              <w:left w:w="108" w:type="dxa"/>
              <w:right w:w="108" w:type="dxa"/>
            </w:tcMar>
            <w:vAlign w:val="top"/>
          </w:tcPr>
          <w:p w14:paraId="69B0818A">
            <w:pPr>
              <w:pStyle w:val="13"/>
              <w:spacing w:line="237"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B499A3C">
            <w:pPr>
              <w:pStyle w:val="13"/>
              <w:spacing w:line="237"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6BBEEFA">
            <w:pPr>
              <w:pStyle w:val="13"/>
              <w:spacing w:line="237"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9A3FE16">
            <w:pPr>
              <w:pStyle w:val="13"/>
              <w:spacing w:line="237"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5AC43DC5">
            <w:pPr>
              <w:pStyle w:val="13"/>
              <w:spacing w:line="237"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3DB074E">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7EBF0C6">
            <w:pPr>
              <w:pStyle w:val="13"/>
              <w:spacing w:line="237"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4112B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9E3D97">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1A420A12">
            <w:pPr>
              <w:spacing w:line="200" w:lineRule="exact"/>
              <w:ind w:left="-122" w:leftChars="-51"/>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5E2FF3C3">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3.</w:t>
            </w:r>
            <w:bookmarkStart w:id="7" w:name="_Hlk66975466"/>
            <w:r>
              <w:rPr>
                <w:rFonts w:hint="eastAsia" w:ascii="仿宋_GB2312" w:hAnsi="黑体" w:eastAsia="仿宋_GB2312" w:cs="Times New Roman"/>
                <w:color w:val="auto"/>
                <w:kern w:val="0"/>
                <w:sz w:val="21"/>
                <w:szCs w:val="21"/>
                <w:lang w:eastAsia="zh-CN" w:bidi="ar-SA"/>
              </w:rPr>
              <w:t>补正后申请内容仍不明确</w:t>
            </w:r>
            <w:bookmarkEnd w:id="7"/>
          </w:p>
        </w:tc>
        <w:tc>
          <w:tcPr>
            <w:tcW w:w="829" w:type="dxa"/>
            <w:shd w:val="clear" w:color="auto" w:fill="auto"/>
            <w:tcMar>
              <w:left w:w="108" w:type="dxa"/>
              <w:right w:w="108" w:type="dxa"/>
            </w:tcMar>
            <w:vAlign w:val="top"/>
          </w:tcPr>
          <w:p w14:paraId="57DB7F60">
            <w:pPr>
              <w:pStyle w:val="13"/>
              <w:spacing w:before="129" w:line="239"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626B902">
            <w:pPr>
              <w:pStyle w:val="13"/>
              <w:spacing w:before="129" w:line="239"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89B3077">
            <w:pPr>
              <w:pStyle w:val="13"/>
              <w:spacing w:before="129" w:line="239"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1AC2B9C9">
            <w:pPr>
              <w:pStyle w:val="13"/>
              <w:spacing w:before="129" w:line="239"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4EBEAC56">
            <w:pPr>
              <w:pStyle w:val="13"/>
              <w:spacing w:before="129" w:line="239"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DBCF38E">
            <w:pPr>
              <w:pStyle w:val="13"/>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FF56D45">
            <w:pPr>
              <w:pStyle w:val="13"/>
              <w:spacing w:before="129" w:line="239"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1C2D26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770D639">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1382B115">
            <w:pPr>
              <w:widowControl/>
              <w:spacing w:line="200" w:lineRule="exact"/>
              <w:ind w:left="-122" w:leftChars="-51"/>
              <w:jc w:val="both"/>
              <w:rPr>
                <w:rFonts w:ascii="黑体" w:hAnsi="黑体" w:eastAsia="黑体" w:cs="Times New Roman"/>
                <w:color w:val="auto"/>
                <w:kern w:val="2"/>
                <w:sz w:val="21"/>
                <w:szCs w:val="21"/>
                <w:lang w:eastAsia="zh-CN" w:bidi="ar-SA"/>
              </w:rPr>
            </w:pPr>
            <w:r>
              <w:rPr>
                <w:rFonts w:hint="eastAsia" w:ascii="黑体" w:hAnsi="黑体" w:eastAsia="黑体" w:cs="Times New Roman"/>
                <w:color w:val="auto"/>
                <w:kern w:val="0"/>
                <w:sz w:val="21"/>
                <w:szCs w:val="21"/>
                <w:lang w:eastAsia="zh-CN" w:bidi="ar-SA"/>
              </w:rPr>
              <w:t>（五）不予处理</w:t>
            </w:r>
          </w:p>
        </w:tc>
        <w:tc>
          <w:tcPr>
            <w:tcW w:w="2976" w:type="dxa"/>
            <w:shd w:val="clear" w:color="auto" w:fill="auto"/>
            <w:tcMar>
              <w:left w:w="108" w:type="dxa"/>
              <w:right w:w="108" w:type="dxa"/>
            </w:tcMar>
            <w:vAlign w:val="center"/>
          </w:tcPr>
          <w:p w14:paraId="792024DB">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1.</w:t>
            </w:r>
            <w:bookmarkStart w:id="8" w:name="_Hlk66975537"/>
            <w:r>
              <w:rPr>
                <w:rFonts w:hint="eastAsia" w:ascii="仿宋_GB2312" w:hAnsi="黑体" w:eastAsia="仿宋_GB2312" w:cs="Times New Roman"/>
                <w:color w:val="auto"/>
                <w:kern w:val="0"/>
                <w:sz w:val="21"/>
                <w:szCs w:val="21"/>
                <w:lang w:eastAsia="zh-CN" w:bidi="ar-SA"/>
              </w:rPr>
              <w:t>信访举报投诉类申请</w:t>
            </w:r>
            <w:bookmarkEnd w:id="8"/>
          </w:p>
        </w:tc>
        <w:tc>
          <w:tcPr>
            <w:tcW w:w="829" w:type="dxa"/>
            <w:shd w:val="clear" w:color="auto" w:fill="auto"/>
            <w:tcMar>
              <w:left w:w="108" w:type="dxa"/>
              <w:right w:w="108" w:type="dxa"/>
            </w:tcMar>
            <w:vAlign w:val="top"/>
          </w:tcPr>
          <w:p w14:paraId="5E53C902">
            <w:pPr>
              <w:pStyle w:val="13"/>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88D5011">
            <w:pPr>
              <w:pStyle w:val="13"/>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C26BDCB">
            <w:pPr>
              <w:pStyle w:val="13"/>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6517F998">
            <w:pPr>
              <w:pStyle w:val="13"/>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0D5C40B7">
            <w:pPr>
              <w:pStyle w:val="13"/>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7716F40">
            <w:pPr>
              <w:pStyle w:val="13"/>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0F7A58ED">
            <w:pPr>
              <w:pStyle w:val="13"/>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43EADA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52A8723">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1DE7796D">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5C944586">
            <w:pPr>
              <w:widowControl/>
              <w:spacing w:line="2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2.重复申请</w:t>
            </w:r>
          </w:p>
        </w:tc>
        <w:tc>
          <w:tcPr>
            <w:tcW w:w="829" w:type="dxa"/>
            <w:shd w:val="clear" w:color="auto" w:fill="auto"/>
            <w:tcMar>
              <w:left w:w="108" w:type="dxa"/>
              <w:right w:w="108" w:type="dxa"/>
            </w:tcMar>
            <w:vAlign w:val="top"/>
          </w:tcPr>
          <w:p w14:paraId="4E4559B9">
            <w:pPr>
              <w:pStyle w:val="13"/>
              <w:spacing w:before="128"/>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910B1BC">
            <w:pPr>
              <w:pStyle w:val="13"/>
              <w:spacing w:before="128"/>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E548564">
            <w:pPr>
              <w:pStyle w:val="13"/>
              <w:spacing w:before="128"/>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2168068D">
            <w:pPr>
              <w:pStyle w:val="13"/>
              <w:spacing w:before="128"/>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4D9A6D9E">
            <w:pPr>
              <w:pStyle w:val="13"/>
              <w:spacing w:before="128"/>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7041E74">
            <w:pPr>
              <w:pStyle w:val="13"/>
              <w:spacing w:before="128"/>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170F4A95">
            <w:pPr>
              <w:pStyle w:val="13"/>
              <w:spacing w:before="128"/>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02D0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5EC63D5">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47C1A861">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69B482AB">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3.要求提供公开出版物</w:t>
            </w:r>
          </w:p>
        </w:tc>
        <w:tc>
          <w:tcPr>
            <w:tcW w:w="829" w:type="dxa"/>
            <w:shd w:val="clear" w:color="auto" w:fill="auto"/>
            <w:tcMar>
              <w:left w:w="108" w:type="dxa"/>
              <w:right w:w="108" w:type="dxa"/>
            </w:tcMar>
            <w:vAlign w:val="top"/>
          </w:tcPr>
          <w:p w14:paraId="178701EF">
            <w:pPr>
              <w:pStyle w:val="13"/>
              <w:spacing w:line="260"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8B2F6A9">
            <w:pPr>
              <w:pStyle w:val="13"/>
              <w:spacing w:line="260"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CBA863C">
            <w:pPr>
              <w:pStyle w:val="13"/>
              <w:spacing w:line="260"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1F220AB">
            <w:pPr>
              <w:pStyle w:val="13"/>
              <w:spacing w:line="260"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24439871">
            <w:pPr>
              <w:pStyle w:val="13"/>
              <w:spacing w:line="260"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D39E232">
            <w:pPr>
              <w:pStyle w:val="13"/>
              <w:spacing w:line="26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3DADB75">
            <w:pPr>
              <w:pStyle w:val="13"/>
              <w:spacing w:line="26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5EC0A9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2421D083">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2A837856">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7023EE58">
            <w:pPr>
              <w:widowControl/>
              <w:spacing w:line="200" w:lineRule="exact"/>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4.无正当理由大量反复申请</w:t>
            </w:r>
          </w:p>
        </w:tc>
        <w:tc>
          <w:tcPr>
            <w:tcW w:w="829" w:type="dxa"/>
            <w:shd w:val="clear" w:color="auto" w:fill="auto"/>
            <w:tcMar>
              <w:left w:w="108" w:type="dxa"/>
              <w:right w:w="108" w:type="dxa"/>
            </w:tcMar>
            <w:vAlign w:val="top"/>
          </w:tcPr>
          <w:p w14:paraId="37EB422E">
            <w:pPr>
              <w:pStyle w:val="13"/>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F4B3253">
            <w:pPr>
              <w:pStyle w:val="13"/>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B72C971">
            <w:pPr>
              <w:pStyle w:val="13"/>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0E57CE23">
            <w:pPr>
              <w:pStyle w:val="13"/>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786FE2F1">
            <w:pPr>
              <w:pStyle w:val="13"/>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4EF55B9">
            <w:pPr>
              <w:pStyle w:val="13"/>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3937140C">
            <w:pPr>
              <w:pStyle w:val="13"/>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3208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A7E06C0">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75B867BF">
            <w:pPr>
              <w:spacing w:line="200" w:lineRule="exact"/>
              <w:jc w:val="both"/>
              <w:rPr>
                <w:rFonts w:ascii="黑体" w:hAnsi="黑体" w:eastAsia="黑体" w:cs="Times New Roman"/>
                <w:color w:val="auto"/>
                <w:kern w:val="2"/>
                <w:sz w:val="21"/>
                <w:szCs w:val="21"/>
                <w:lang w:eastAsia="zh-CN" w:bidi="ar-SA"/>
              </w:rPr>
            </w:pPr>
          </w:p>
        </w:tc>
        <w:tc>
          <w:tcPr>
            <w:tcW w:w="2976" w:type="dxa"/>
            <w:shd w:val="clear" w:color="auto" w:fill="auto"/>
            <w:tcMar>
              <w:left w:w="108" w:type="dxa"/>
              <w:right w:w="108" w:type="dxa"/>
            </w:tcMar>
            <w:vAlign w:val="center"/>
          </w:tcPr>
          <w:p w14:paraId="4396166D">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黑体" w:eastAsia="仿宋_GB2312" w:cs="Times New Roman"/>
                <w:color w:val="auto"/>
                <w:kern w:val="0"/>
                <w:sz w:val="21"/>
                <w:szCs w:val="21"/>
                <w:lang w:eastAsia="zh-CN" w:bidi="ar-SA"/>
              </w:rPr>
              <w:t>5.要求行政机关确认或重新</w:t>
            </w:r>
          </w:p>
          <w:p w14:paraId="6613B283">
            <w:pPr>
              <w:widowControl/>
              <w:spacing w:line="300" w:lineRule="exact"/>
              <w:ind w:firstLine="210" w:firstLineChars="100"/>
              <w:jc w:val="both"/>
              <w:rPr>
                <w:rFonts w:ascii="仿宋_GB2312" w:hAnsi="黑体" w:eastAsia="仿宋_GB2312" w:cs="Times New Roman"/>
                <w:color w:val="auto"/>
                <w:kern w:val="2"/>
                <w:sz w:val="21"/>
                <w:szCs w:val="21"/>
                <w:lang w:eastAsia="zh-CN" w:bidi="ar-SA"/>
              </w:rPr>
            </w:pPr>
            <w:r>
              <w:rPr>
                <w:rFonts w:hint="eastAsia" w:ascii="仿宋_GB2312" w:hAnsi="黑体" w:eastAsia="仿宋_GB2312" w:cs="Times New Roman"/>
                <w:color w:val="auto"/>
                <w:kern w:val="0"/>
                <w:sz w:val="21"/>
                <w:szCs w:val="21"/>
                <w:lang w:eastAsia="zh-CN" w:bidi="ar-SA"/>
              </w:rPr>
              <w:t>出具已获取信息</w:t>
            </w:r>
          </w:p>
        </w:tc>
        <w:tc>
          <w:tcPr>
            <w:tcW w:w="829" w:type="dxa"/>
            <w:shd w:val="clear" w:color="auto" w:fill="auto"/>
            <w:tcMar>
              <w:left w:w="108" w:type="dxa"/>
              <w:right w:w="108" w:type="dxa"/>
            </w:tcMar>
            <w:vAlign w:val="top"/>
          </w:tcPr>
          <w:p w14:paraId="769E5337">
            <w:pPr>
              <w:pStyle w:val="13"/>
              <w:spacing w:before="187"/>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720A1F49">
            <w:pPr>
              <w:pStyle w:val="13"/>
              <w:spacing w:before="187"/>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245D0F8">
            <w:pPr>
              <w:pStyle w:val="13"/>
              <w:spacing w:before="187"/>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D5ED787">
            <w:pPr>
              <w:pStyle w:val="13"/>
              <w:spacing w:before="187"/>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6CC7D6E2">
            <w:pPr>
              <w:pStyle w:val="13"/>
              <w:spacing w:before="187"/>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9A07F62">
            <w:pPr>
              <w:pStyle w:val="13"/>
              <w:spacing w:before="187"/>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571C0168">
            <w:pPr>
              <w:pStyle w:val="13"/>
              <w:spacing w:before="187"/>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70ACA6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B08756D">
            <w:pPr>
              <w:jc w:val="both"/>
              <w:rPr>
                <w:rFonts w:ascii="黑体" w:hAnsi="黑体" w:eastAsia="黑体" w:cs="Times New Roman"/>
                <w:color w:val="auto"/>
                <w:kern w:val="2"/>
                <w:sz w:val="21"/>
                <w:szCs w:val="21"/>
                <w:lang w:eastAsia="zh-CN" w:bidi="ar-SA"/>
              </w:rPr>
            </w:pPr>
          </w:p>
        </w:tc>
        <w:tc>
          <w:tcPr>
            <w:tcW w:w="1701" w:type="dxa"/>
            <w:vMerge w:val="restart"/>
            <w:shd w:val="clear" w:color="auto" w:fill="auto"/>
            <w:tcMar>
              <w:left w:w="108" w:type="dxa"/>
              <w:right w:w="108" w:type="dxa"/>
            </w:tcMar>
            <w:vAlign w:val="center"/>
          </w:tcPr>
          <w:p w14:paraId="2EDA8587">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（六）其他处理</w:t>
            </w:r>
          </w:p>
        </w:tc>
        <w:tc>
          <w:tcPr>
            <w:tcW w:w="2976" w:type="dxa"/>
            <w:shd w:val="clear" w:color="auto" w:fill="auto"/>
            <w:vAlign w:val="center"/>
          </w:tcPr>
          <w:p w14:paraId="18F1F729">
            <w:pPr>
              <w:widowControl/>
              <w:spacing w:line="300" w:lineRule="exact"/>
              <w:jc w:val="both"/>
              <w:rPr>
                <w:rFonts w:ascii="仿宋_GB2312" w:hAnsi="楷体" w:eastAsia="仿宋_GB2312" w:cs="Times New Roman"/>
                <w:color w:val="auto"/>
                <w:kern w:val="2"/>
                <w:sz w:val="21"/>
                <w:szCs w:val="22"/>
                <w:lang w:eastAsia="zh-CN" w:bidi="ar-SA"/>
              </w:rPr>
            </w:pPr>
            <w:r>
              <w:rPr>
                <w:rFonts w:hint="eastAsia" w:ascii="仿宋_GB2312" w:hAnsi="楷体" w:eastAsia="仿宋_GB2312" w:cs="Times New Roman"/>
                <w:color w:val="auto"/>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top"/>
          </w:tcPr>
          <w:p w14:paraId="253D4CAB">
            <w:pPr>
              <w:pStyle w:val="13"/>
              <w:spacing w:before="128" w:line="240"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2AA30FE">
            <w:pPr>
              <w:pStyle w:val="13"/>
              <w:spacing w:before="128" w:line="240"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58D5085">
            <w:pPr>
              <w:pStyle w:val="13"/>
              <w:spacing w:before="128" w:line="240"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234837F4">
            <w:pPr>
              <w:pStyle w:val="13"/>
              <w:spacing w:before="128" w:line="240"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306BEC26">
            <w:pPr>
              <w:pStyle w:val="13"/>
              <w:spacing w:before="128" w:line="240"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61EF5F14">
            <w:pPr>
              <w:pStyle w:val="13"/>
              <w:spacing w:before="128" w:line="24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6030DF72">
            <w:pPr>
              <w:pStyle w:val="13"/>
              <w:spacing w:before="128" w:line="240"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20EB53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3B2048A8">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5FEB0417">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14:paraId="5DF32DAB">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top"/>
          </w:tcPr>
          <w:p w14:paraId="257C4188">
            <w:pPr>
              <w:pStyle w:val="13"/>
              <w:spacing w:before="128" w:line="236" w:lineRule="exact"/>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91414CD">
            <w:pPr>
              <w:pStyle w:val="13"/>
              <w:spacing w:before="128" w:line="236" w:lineRule="exact"/>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5253AAE8">
            <w:pPr>
              <w:pStyle w:val="13"/>
              <w:spacing w:before="128" w:line="236" w:lineRule="exact"/>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7DB3FF05">
            <w:pPr>
              <w:pStyle w:val="13"/>
              <w:spacing w:before="128" w:line="236" w:lineRule="exact"/>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029B1A8F">
            <w:pPr>
              <w:pStyle w:val="13"/>
              <w:spacing w:before="128" w:line="236" w:lineRule="exact"/>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B6CD814">
            <w:pPr>
              <w:pStyle w:val="13"/>
              <w:spacing w:before="128"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64EBBCA3">
            <w:pPr>
              <w:pStyle w:val="13"/>
              <w:spacing w:before="128" w:line="236" w:lineRule="exact"/>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3345DE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501A8D4">
            <w:pPr>
              <w:jc w:val="both"/>
              <w:rPr>
                <w:rFonts w:ascii="黑体" w:hAnsi="黑体" w:eastAsia="黑体" w:cs="Times New Roman"/>
                <w:color w:val="auto"/>
                <w:kern w:val="2"/>
                <w:sz w:val="21"/>
                <w:szCs w:val="21"/>
                <w:lang w:eastAsia="zh-CN" w:bidi="ar-SA"/>
              </w:rPr>
            </w:pPr>
          </w:p>
        </w:tc>
        <w:tc>
          <w:tcPr>
            <w:tcW w:w="1701" w:type="dxa"/>
            <w:vMerge w:val="continue"/>
            <w:shd w:val="clear" w:color="auto" w:fill="auto"/>
            <w:tcMar>
              <w:left w:w="108" w:type="dxa"/>
              <w:right w:w="108" w:type="dxa"/>
            </w:tcMar>
            <w:vAlign w:val="center"/>
          </w:tcPr>
          <w:p w14:paraId="533A705F">
            <w:pPr>
              <w:widowControl/>
              <w:spacing w:line="300" w:lineRule="exact"/>
              <w:jc w:val="both"/>
              <w:rPr>
                <w:rFonts w:ascii="黑体" w:hAnsi="黑体" w:eastAsia="黑体" w:cs="Times New Roman"/>
                <w:color w:val="auto"/>
                <w:kern w:val="0"/>
                <w:sz w:val="21"/>
                <w:szCs w:val="21"/>
                <w:lang w:eastAsia="zh-CN" w:bidi="ar-SA"/>
              </w:rPr>
            </w:pPr>
          </w:p>
        </w:tc>
        <w:tc>
          <w:tcPr>
            <w:tcW w:w="2976" w:type="dxa"/>
            <w:shd w:val="clear" w:color="auto" w:fill="auto"/>
            <w:vAlign w:val="center"/>
          </w:tcPr>
          <w:p w14:paraId="2D6BF759">
            <w:pPr>
              <w:widowControl/>
              <w:spacing w:line="300" w:lineRule="exact"/>
              <w:jc w:val="both"/>
              <w:rPr>
                <w:rFonts w:ascii="仿宋_GB2312" w:hAnsi="黑体" w:eastAsia="仿宋_GB2312" w:cs="Times New Roman"/>
                <w:color w:val="auto"/>
                <w:kern w:val="0"/>
                <w:sz w:val="21"/>
                <w:szCs w:val="21"/>
                <w:lang w:eastAsia="zh-CN" w:bidi="ar-SA"/>
              </w:rPr>
            </w:pPr>
            <w:r>
              <w:rPr>
                <w:rFonts w:hint="eastAsia" w:ascii="仿宋_GB2312" w:hAnsi="楷体" w:eastAsia="仿宋_GB2312" w:cs="Times New Roman"/>
                <w:color w:val="auto"/>
                <w:kern w:val="2"/>
                <w:sz w:val="21"/>
                <w:szCs w:val="22"/>
                <w:lang w:eastAsia="zh-CN" w:bidi="ar-SA"/>
              </w:rPr>
              <w:t>3.其他</w:t>
            </w:r>
          </w:p>
        </w:tc>
        <w:tc>
          <w:tcPr>
            <w:tcW w:w="829" w:type="dxa"/>
            <w:shd w:val="clear" w:color="auto" w:fill="auto"/>
            <w:tcMar>
              <w:left w:w="108" w:type="dxa"/>
              <w:right w:w="108" w:type="dxa"/>
            </w:tcMar>
            <w:vAlign w:val="top"/>
          </w:tcPr>
          <w:p w14:paraId="0C9A8FAA">
            <w:pPr>
              <w:pStyle w:val="13"/>
              <w:spacing w:before="135"/>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93FD854">
            <w:pPr>
              <w:pStyle w:val="13"/>
              <w:spacing w:before="135"/>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325E6789">
            <w:pPr>
              <w:pStyle w:val="13"/>
              <w:spacing w:before="135"/>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1EF5930D">
            <w:pPr>
              <w:pStyle w:val="13"/>
              <w:spacing w:before="135"/>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3D73B979">
            <w:pPr>
              <w:pStyle w:val="13"/>
              <w:spacing w:before="135"/>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CD9E6D1">
            <w:pPr>
              <w:pStyle w:val="13"/>
              <w:spacing w:before="135"/>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140F23B3">
            <w:pPr>
              <w:pStyle w:val="13"/>
              <w:spacing w:before="135"/>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16C8E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D3C2ADB">
            <w:pPr>
              <w:jc w:val="both"/>
              <w:rPr>
                <w:rFonts w:ascii="黑体" w:hAnsi="黑体" w:eastAsia="黑体" w:cs="Times New Roman"/>
                <w:color w:val="auto"/>
                <w:kern w:val="2"/>
                <w:sz w:val="21"/>
                <w:szCs w:val="21"/>
                <w:lang w:eastAsia="zh-CN" w:bidi="ar-SA"/>
              </w:rPr>
            </w:pPr>
          </w:p>
        </w:tc>
        <w:tc>
          <w:tcPr>
            <w:tcW w:w="4677" w:type="dxa"/>
            <w:gridSpan w:val="2"/>
            <w:shd w:val="clear" w:color="auto" w:fill="auto"/>
            <w:tcMar>
              <w:left w:w="108" w:type="dxa"/>
              <w:right w:w="108" w:type="dxa"/>
            </w:tcMar>
            <w:vAlign w:val="center"/>
          </w:tcPr>
          <w:p w14:paraId="1DF29E07">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（七）总计</w:t>
            </w:r>
          </w:p>
        </w:tc>
        <w:tc>
          <w:tcPr>
            <w:tcW w:w="829" w:type="dxa"/>
            <w:shd w:val="clear" w:color="auto" w:fill="auto"/>
            <w:tcMar>
              <w:left w:w="108" w:type="dxa"/>
              <w:right w:w="108" w:type="dxa"/>
            </w:tcMar>
            <w:vAlign w:val="top"/>
          </w:tcPr>
          <w:p w14:paraId="2C111AAE">
            <w:pPr>
              <w:pStyle w:val="13"/>
              <w:spacing w:before="17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A11BCC6">
            <w:pPr>
              <w:pStyle w:val="13"/>
              <w:spacing w:before="17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156C29F">
            <w:pPr>
              <w:pStyle w:val="13"/>
              <w:spacing w:before="17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46A7A0D4">
            <w:pPr>
              <w:pStyle w:val="13"/>
              <w:spacing w:before="17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1AA78671">
            <w:pPr>
              <w:pStyle w:val="13"/>
              <w:spacing w:before="17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2E92DC4C">
            <w:pPr>
              <w:pStyle w:val="13"/>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229E7E05">
            <w:pPr>
              <w:pStyle w:val="13"/>
              <w:spacing w:before="17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r w14:paraId="27306E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32F0326C">
            <w:pPr>
              <w:widowControl/>
              <w:spacing w:line="300" w:lineRule="exact"/>
              <w:jc w:val="both"/>
              <w:rPr>
                <w:rFonts w:ascii="黑体" w:hAnsi="黑体" w:eastAsia="黑体" w:cs="Times New Roman"/>
                <w:color w:val="auto"/>
                <w:kern w:val="0"/>
                <w:sz w:val="21"/>
                <w:szCs w:val="21"/>
                <w:lang w:eastAsia="zh-CN" w:bidi="ar-SA"/>
              </w:rPr>
            </w:pPr>
            <w:r>
              <w:rPr>
                <w:rFonts w:hint="eastAsia" w:ascii="黑体" w:hAnsi="黑体" w:eastAsia="黑体" w:cs="Times New Roman"/>
                <w:color w:val="auto"/>
                <w:kern w:val="0"/>
                <w:sz w:val="21"/>
                <w:szCs w:val="21"/>
                <w:lang w:eastAsia="zh-CN" w:bidi="ar-SA"/>
              </w:rPr>
              <w:t>四、结转下年度继续办理</w:t>
            </w:r>
          </w:p>
        </w:tc>
        <w:tc>
          <w:tcPr>
            <w:tcW w:w="829" w:type="dxa"/>
            <w:shd w:val="clear" w:color="auto" w:fill="auto"/>
            <w:tcMar>
              <w:left w:w="108" w:type="dxa"/>
              <w:right w:w="108" w:type="dxa"/>
            </w:tcMar>
            <w:vAlign w:val="top"/>
          </w:tcPr>
          <w:p w14:paraId="0CE1DD94">
            <w:pPr>
              <w:pStyle w:val="13"/>
              <w:spacing w:before="150"/>
              <w:ind w:left="25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0CC36C1C">
            <w:pPr>
              <w:pStyle w:val="13"/>
              <w:spacing w:before="150"/>
              <w:ind w:left="221"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1781EAF1">
            <w:pPr>
              <w:pStyle w:val="13"/>
              <w:spacing w:before="150"/>
              <w:ind w:left="220"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31" w:type="dxa"/>
            <w:shd w:val="clear" w:color="auto" w:fill="auto"/>
            <w:tcMar>
              <w:left w:w="108" w:type="dxa"/>
              <w:right w:w="108" w:type="dxa"/>
            </w:tcMar>
            <w:vAlign w:val="top"/>
          </w:tcPr>
          <w:p w14:paraId="1048CAF7">
            <w:pPr>
              <w:pStyle w:val="13"/>
              <w:spacing w:before="150"/>
              <w:ind w:left="222" w:leftChars="0"/>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708" w:type="dxa"/>
            <w:shd w:val="clear" w:color="auto" w:fill="auto"/>
            <w:tcMar>
              <w:left w:w="108" w:type="dxa"/>
              <w:right w:w="108" w:type="dxa"/>
            </w:tcMar>
            <w:vAlign w:val="top"/>
          </w:tcPr>
          <w:p w14:paraId="108FBDC7">
            <w:pPr>
              <w:pStyle w:val="13"/>
              <w:spacing w:before="150"/>
              <w:ind w:left="10"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567" w:type="dxa"/>
            <w:shd w:val="clear" w:color="auto" w:fill="auto"/>
            <w:tcMar>
              <w:left w:w="108" w:type="dxa"/>
              <w:right w:w="108" w:type="dxa"/>
            </w:tcMar>
            <w:vAlign w:val="top"/>
          </w:tcPr>
          <w:p w14:paraId="4A2F441A">
            <w:pPr>
              <w:pStyle w:val="13"/>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c>
          <w:tcPr>
            <w:tcW w:w="851" w:type="dxa"/>
            <w:shd w:val="clear" w:color="auto" w:fill="auto"/>
            <w:tcMar>
              <w:left w:w="108" w:type="dxa"/>
              <w:right w:w="108" w:type="dxa"/>
            </w:tcMar>
            <w:vAlign w:val="top"/>
          </w:tcPr>
          <w:p w14:paraId="6D8763BA">
            <w:pPr>
              <w:pStyle w:val="13"/>
              <w:spacing w:before="150"/>
              <w:ind w:left="11" w:leftChars="0"/>
              <w:jc w:val="center"/>
              <w:rPr>
                <w:rFonts w:ascii="仿宋_GB2312" w:hAnsi="Times New Roman" w:eastAsia="仿宋_GB2312" w:cs="Times New Roman"/>
                <w:color w:val="auto"/>
                <w:kern w:val="2"/>
                <w:sz w:val="21"/>
                <w:szCs w:val="21"/>
                <w:lang w:eastAsia="zh-CN" w:bidi="ar-SA"/>
              </w:rPr>
            </w:pPr>
            <w:r>
              <w:rPr>
                <w:rFonts w:ascii="Times New Roman"/>
                <w:color w:val="auto"/>
                <w:sz w:val="24"/>
              </w:rPr>
              <w:t>0</w:t>
            </w:r>
          </w:p>
        </w:tc>
      </w:tr>
    </w:tbl>
    <w:p w14:paraId="1B6AE3CE">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992" w:footer="1134" w:gutter="0"/>
          <w:pgNumType w:fmt="decimal" w:start="8"/>
          <w:cols w:space="720" w:num="1"/>
          <w:docGrid w:linePitch="360" w:charSpace="0"/>
        </w:sectPr>
      </w:pPr>
    </w:p>
    <w:p w14:paraId="4AFF9900">
      <w:pPr>
        <w:pStyle w:val="11"/>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5"/>
        <w:tblW w:w="8737" w:type="dxa"/>
        <w:jc w:val="center"/>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14:paraId="219193EA">
        <w:tblPrEx>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14:paraId="7C3DC7ED">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14:paraId="7B8B91D3">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14:paraId="748E3FD6">
        <w:tblPrEx>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14:paraId="13CBD700">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14:paraId="06B6B640">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14:paraId="7A2F4297">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14:paraId="12527AAF">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14:paraId="2B28F710">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14:paraId="701A793F">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14:paraId="62F958C4">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14:paraId="22AD8676">
        <w:tblPrEx>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14:paraId="1BFEE48D">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14:paraId="5E9208C3">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77C7BF3A">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14:paraId="66F6A480">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14:paraId="160195C6">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14:paraId="6E0153F5">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5646502C">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06C7AF95">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50F9304C">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14:paraId="3D17F4F2">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14:paraId="0FCB9DB6">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14:paraId="4E53A8C9">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14:paraId="6935331A">
            <w:pPr>
              <w:pStyle w:val="12"/>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14:paraId="5022F6BE">
            <w:pPr>
              <w:pStyle w:val="1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14:paraId="6004CD24">
            <w:pPr>
              <w:pStyle w:val="10"/>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14:paraId="630C97AD">
        <w:tblPrEx>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top"/>
          </w:tcPr>
          <w:p w14:paraId="625F9E09">
            <w:pPr>
              <w:pStyle w:val="13"/>
              <w:spacing w:before="152"/>
              <w:ind w:left="5" w:leftChars="0"/>
              <w:jc w:val="center"/>
              <w:rPr>
                <w:rFonts w:eastAsia="宋体"/>
                <w:color w:val="auto"/>
                <w:sz w:val="32"/>
                <w:szCs w:val="32"/>
                <w:lang w:eastAsia="zh-CN"/>
              </w:rPr>
            </w:pPr>
            <w:r>
              <w:rPr>
                <w:rFonts w:ascii="Times New Roman"/>
                <w:color w:val="auto"/>
                <w:w w:val="99"/>
                <w:sz w:val="32"/>
              </w:rPr>
              <w:t>0</w:t>
            </w:r>
          </w:p>
        </w:tc>
        <w:tc>
          <w:tcPr>
            <w:tcW w:w="629" w:type="dxa"/>
            <w:tcBorders>
              <w:top w:val="single" w:color="auto" w:sz="4" w:space="0"/>
              <w:left w:val="single" w:color="auto" w:sz="4" w:space="0"/>
              <w:bottom w:val="single" w:color="auto" w:sz="4" w:space="0"/>
            </w:tcBorders>
            <w:shd w:val="clear" w:color="auto" w:fill="FFFFFF"/>
            <w:vAlign w:val="top"/>
          </w:tcPr>
          <w:p w14:paraId="189C1A00">
            <w:pPr>
              <w:pStyle w:val="13"/>
              <w:spacing w:before="152"/>
              <w:ind w:left="10" w:leftChars="0"/>
              <w:jc w:val="center"/>
              <w:rPr>
                <w:rFonts w:eastAsia="宋体"/>
                <w:color w:val="auto"/>
                <w:sz w:val="32"/>
                <w:szCs w:val="32"/>
                <w:lang w:eastAsia="zh-CN"/>
              </w:rPr>
            </w:pPr>
            <w:r>
              <w:rPr>
                <w:rFonts w:ascii="Times New Roman"/>
                <w:color w:val="auto"/>
                <w:w w:val="99"/>
                <w:sz w:val="32"/>
              </w:rPr>
              <w:t>0</w:t>
            </w:r>
          </w:p>
        </w:tc>
        <w:tc>
          <w:tcPr>
            <w:tcW w:w="624" w:type="dxa"/>
            <w:tcBorders>
              <w:top w:val="single" w:color="auto" w:sz="4" w:space="0"/>
              <w:left w:val="single" w:color="auto" w:sz="4" w:space="0"/>
              <w:bottom w:val="single" w:color="auto" w:sz="4" w:space="0"/>
            </w:tcBorders>
            <w:shd w:val="clear" w:color="auto" w:fill="FFFFFF"/>
            <w:vAlign w:val="top"/>
          </w:tcPr>
          <w:p w14:paraId="04F4A067">
            <w:pPr>
              <w:pStyle w:val="13"/>
              <w:spacing w:before="152"/>
              <w:ind w:left="9" w:leftChars="0"/>
              <w:jc w:val="center"/>
              <w:rPr>
                <w:rFonts w:eastAsia="宋体"/>
                <w:color w:val="auto"/>
                <w:sz w:val="32"/>
                <w:szCs w:val="32"/>
                <w:lang w:eastAsia="zh-CN"/>
              </w:rPr>
            </w:pPr>
            <w:r>
              <w:rPr>
                <w:rFonts w:ascii="Times New Roman"/>
                <w:color w:val="auto"/>
                <w:w w:val="99"/>
                <w:sz w:val="32"/>
              </w:rPr>
              <w:t>0</w:t>
            </w:r>
          </w:p>
        </w:tc>
        <w:tc>
          <w:tcPr>
            <w:tcW w:w="624" w:type="dxa"/>
            <w:tcBorders>
              <w:top w:val="single" w:color="auto" w:sz="4" w:space="0"/>
              <w:left w:val="single" w:color="auto" w:sz="4" w:space="0"/>
              <w:bottom w:val="single" w:color="auto" w:sz="4" w:space="0"/>
            </w:tcBorders>
            <w:shd w:val="clear" w:color="auto" w:fill="FFFFFF"/>
            <w:vAlign w:val="top"/>
          </w:tcPr>
          <w:p w14:paraId="61242550">
            <w:pPr>
              <w:pStyle w:val="13"/>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14:paraId="6BEAEE59">
            <w:pPr>
              <w:pStyle w:val="13"/>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14:paraId="018B994D">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71" w:type="dxa"/>
            <w:tcBorders>
              <w:top w:val="single" w:color="auto" w:sz="4" w:space="0"/>
              <w:left w:val="single" w:color="auto" w:sz="4" w:space="0"/>
              <w:bottom w:val="single" w:color="auto" w:sz="4" w:space="0"/>
            </w:tcBorders>
            <w:shd w:val="clear" w:color="auto" w:fill="FFFFFF"/>
            <w:vAlign w:val="top"/>
          </w:tcPr>
          <w:p w14:paraId="45998F07">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14:paraId="2A295B1D">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14:paraId="36D7F20E">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14:paraId="310420B2">
            <w:pPr>
              <w:pStyle w:val="13"/>
              <w:spacing w:before="152"/>
              <w:ind w:left="9"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14:paraId="5AE0EAB8">
            <w:pPr>
              <w:pStyle w:val="13"/>
              <w:spacing w:before="152"/>
              <w:ind w:left="9" w:leftChars="0"/>
              <w:jc w:val="center"/>
              <w:rPr>
                <w:rFonts w:eastAsia="宋体"/>
                <w:color w:val="auto"/>
                <w:sz w:val="32"/>
                <w:szCs w:val="32"/>
                <w:lang w:eastAsia="zh-CN"/>
              </w:rPr>
            </w:pPr>
            <w:r>
              <w:rPr>
                <w:rFonts w:ascii="Times New Roman"/>
                <w:color w:val="auto"/>
                <w:w w:val="99"/>
                <w:sz w:val="32"/>
              </w:rPr>
              <w:t>0</w:t>
            </w:r>
          </w:p>
        </w:tc>
        <w:tc>
          <w:tcPr>
            <w:tcW w:w="571" w:type="dxa"/>
            <w:tcBorders>
              <w:top w:val="single" w:color="auto" w:sz="4" w:space="0"/>
              <w:left w:val="single" w:color="auto" w:sz="4" w:space="0"/>
              <w:bottom w:val="single" w:color="auto" w:sz="4" w:space="0"/>
            </w:tcBorders>
            <w:shd w:val="clear" w:color="auto" w:fill="FFFFFF"/>
            <w:vAlign w:val="top"/>
          </w:tcPr>
          <w:p w14:paraId="2DD5AA7D">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62" w:type="dxa"/>
            <w:tcBorders>
              <w:top w:val="single" w:color="auto" w:sz="4" w:space="0"/>
              <w:left w:val="single" w:color="auto" w:sz="4" w:space="0"/>
              <w:bottom w:val="single" w:color="auto" w:sz="4" w:space="0"/>
            </w:tcBorders>
            <w:shd w:val="clear" w:color="auto" w:fill="FFFFFF"/>
            <w:vAlign w:val="top"/>
          </w:tcPr>
          <w:p w14:paraId="0136A156">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66" w:type="dxa"/>
            <w:tcBorders>
              <w:top w:val="single" w:color="auto" w:sz="4" w:space="0"/>
              <w:left w:val="single" w:color="auto" w:sz="4" w:space="0"/>
              <w:bottom w:val="single" w:color="auto" w:sz="4" w:space="0"/>
            </w:tcBorders>
            <w:shd w:val="clear" w:color="auto" w:fill="FFFFFF"/>
            <w:vAlign w:val="top"/>
          </w:tcPr>
          <w:p w14:paraId="7D409AC5">
            <w:pPr>
              <w:pStyle w:val="13"/>
              <w:spacing w:before="152"/>
              <w:ind w:left="8" w:leftChars="0"/>
              <w:jc w:val="center"/>
              <w:rPr>
                <w:rFonts w:eastAsia="宋体"/>
                <w:color w:val="auto"/>
                <w:sz w:val="32"/>
                <w:szCs w:val="32"/>
                <w:lang w:eastAsia="zh-CN"/>
              </w:rPr>
            </w:pPr>
            <w:r>
              <w:rPr>
                <w:rFonts w:ascii="Times New Roman"/>
                <w:color w:val="auto"/>
                <w:w w:val="99"/>
                <w:sz w:val="32"/>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top"/>
          </w:tcPr>
          <w:p w14:paraId="6C9681DF">
            <w:pPr>
              <w:pStyle w:val="13"/>
              <w:spacing w:before="152"/>
              <w:ind w:left="8" w:leftChars="0"/>
              <w:jc w:val="center"/>
              <w:rPr>
                <w:rFonts w:eastAsia="宋体"/>
                <w:color w:val="auto"/>
                <w:sz w:val="32"/>
                <w:szCs w:val="32"/>
                <w:lang w:eastAsia="zh-CN"/>
              </w:rPr>
            </w:pPr>
            <w:r>
              <w:rPr>
                <w:rFonts w:ascii="Times New Roman"/>
                <w:color w:val="auto"/>
                <w:w w:val="99"/>
                <w:sz w:val="32"/>
              </w:rPr>
              <w:t>0</w:t>
            </w:r>
          </w:p>
        </w:tc>
      </w:tr>
    </w:tbl>
    <w:p w14:paraId="18B32BF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14:paraId="07EB956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14:paraId="0CFA769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政务公开工作重视程度还不够，政务公开重点不够突出、不够全面，公开信息质量有待提高。</w:t>
      </w:r>
      <w:r>
        <w:rPr>
          <w:rFonts w:hint="default" w:ascii="Times New Roman" w:hAnsi="Times New Roman" w:eastAsia="仿宋_GB2312" w:cs="Times New Roman"/>
          <w:bCs/>
          <w:color w:val="auto"/>
          <w:kern w:val="0"/>
          <w:sz w:val="32"/>
          <w:szCs w:val="32"/>
          <w:lang w:val="zh-TW" w:eastAsia="zh-CN" w:bidi="zh-TW"/>
        </w:rPr>
        <w:t>下一步将</w:t>
      </w:r>
      <w:r>
        <w:rPr>
          <w:rFonts w:hint="eastAsia" w:ascii="仿宋_GB2312" w:hAnsi="仿宋_GB2312" w:eastAsia="仿宋_GB2312" w:cs="仿宋_GB2312"/>
          <w:bCs/>
          <w:color w:val="auto"/>
          <w:kern w:val="0"/>
          <w:sz w:val="32"/>
          <w:szCs w:val="32"/>
          <w:lang w:val="zh-TW" w:eastAsia="zh-CN" w:bidi="zh-TW"/>
        </w:rPr>
        <w:t>强化组织领导。将政务公开工作作为一项重点工作来推进，由局</w:t>
      </w:r>
      <w:r>
        <w:rPr>
          <w:rFonts w:hint="eastAsia" w:ascii="仿宋_GB2312" w:hAnsi="仿宋_GB2312" w:eastAsia="仿宋_GB2312" w:cs="仿宋_GB2312"/>
          <w:bCs/>
          <w:color w:val="auto"/>
          <w:kern w:val="0"/>
          <w:sz w:val="32"/>
          <w:szCs w:val="32"/>
          <w:lang w:val="en-US" w:eastAsia="zh-CN" w:bidi="zh-TW"/>
        </w:rPr>
        <w:t>办公室</w:t>
      </w:r>
      <w:r>
        <w:rPr>
          <w:rFonts w:hint="eastAsia" w:ascii="仿宋_GB2312" w:hAnsi="仿宋_GB2312" w:eastAsia="仿宋_GB2312" w:cs="仿宋_GB2312"/>
          <w:bCs/>
          <w:color w:val="auto"/>
          <w:kern w:val="0"/>
          <w:sz w:val="32"/>
          <w:szCs w:val="32"/>
          <w:lang w:val="zh-TW" w:eastAsia="zh-CN" w:bidi="zh-TW"/>
        </w:rPr>
        <w:t>进行统筹协调，督促相关科室及时主动公开相关信息，保证政务公开工作顺利推进。加强信息公开质量，围绕重点领域工作，对信息公开事项进行筛选、提取群众关心的、职责范围内的信息作为公开重点，并对信息公开事项进行严格审核把关，保证信息公开质量</w:t>
      </w:r>
    </w:p>
    <w:p w14:paraId="38AD544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14:paraId="15E60F7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部分信息公开栏目更新缓慢，工作人员对政府信息公开工作的重要性认识不足。</w:t>
      </w:r>
    </w:p>
    <w:p w14:paraId="76C9A00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p>
    <w:p w14:paraId="18DF83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32"/>
          <w:lang w:val="zh-TW" w:eastAsia="zh-CN" w:bidi="zh-TW"/>
        </w:rPr>
      </w:pPr>
      <w:r>
        <w:rPr>
          <w:rFonts w:hint="eastAsia" w:ascii="仿宋_GB2312" w:hAnsi="仿宋_GB2312" w:eastAsia="仿宋_GB2312" w:cs="仿宋_GB2312"/>
          <w:bCs/>
          <w:color w:val="auto"/>
          <w:kern w:val="0"/>
          <w:sz w:val="32"/>
          <w:szCs w:val="32"/>
          <w:lang w:val="zh-TW" w:eastAsia="zh-CN" w:bidi="zh-TW"/>
        </w:rPr>
        <w:t>制定信息更新时间表，明确各栏目信息更新的周期。定期组织政府信息公开专题培训，邀请专家讲解信息公开的法律法规、政策要求以及重要意义。</w:t>
      </w:r>
    </w:p>
    <w:p w14:paraId="533455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14:paraId="319481F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14:paraId="6E2B1ECE">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14:paraId="03133DF5">
      <w:pPr>
        <w:keepNext w:val="0"/>
        <w:keepLines w:val="0"/>
        <w:pageBreakBefore w:val="0"/>
        <w:numPr>
          <w:ilvl w:val="0"/>
          <w:numId w:val="2"/>
        </w:numPr>
        <w:kinsoku/>
        <w:wordWrap/>
        <w:overflowPunct/>
        <w:topLinePunct w:val="0"/>
        <w:autoSpaceDE/>
        <w:autoSpaceDN/>
        <w:bidi w:val="0"/>
        <w:adjustRightInd/>
        <w:snapToGrid/>
        <w:spacing w:line="560" w:lineRule="exact"/>
        <w:ind w:left="0" w:right="0"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14:paraId="54DF826D">
      <w:pPr>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2024年度市中区科学技术局严格按照上级年度政务公开工作要点开展工作，狠抓任务落实，确保完成各项工作目 标。</w:t>
      </w:r>
    </w:p>
    <w:p w14:paraId="6674F51E">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14:paraId="78FD212A">
      <w:pPr>
        <w:pStyle w:val="2"/>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仿宋_GB2312" w:eastAsia="仿宋_GB2312" w:cs="仿宋_GB2312"/>
          <w:b w:val="0"/>
          <w:bCs w:val="0"/>
          <w:color w:val="auto"/>
          <w:kern w:val="0"/>
          <w:sz w:val="32"/>
          <w:szCs w:val="32"/>
          <w:lang w:val="en-US" w:eastAsia="zh-CN" w:bidi="en-US"/>
        </w:rPr>
      </w:pPr>
      <w:r>
        <w:rPr>
          <w:rFonts w:hint="eastAsia" w:ascii="仿宋_GB2312" w:hAnsi="仿宋_GB2312" w:eastAsia="仿宋_GB2312" w:cs="仿宋_GB2312"/>
          <w:b w:val="0"/>
          <w:bCs w:val="0"/>
          <w:color w:val="auto"/>
          <w:kern w:val="0"/>
          <w:sz w:val="32"/>
          <w:szCs w:val="32"/>
          <w:lang w:val="en-US" w:eastAsia="zh-CN" w:bidi="en-US"/>
        </w:rPr>
        <w:t>202</w:t>
      </w:r>
      <w:r>
        <w:rPr>
          <w:rFonts w:hint="eastAsia" w:cs="仿宋_GB2312"/>
          <w:b w:val="0"/>
          <w:bCs w:val="0"/>
          <w:color w:val="auto"/>
          <w:kern w:val="0"/>
          <w:sz w:val="32"/>
          <w:szCs w:val="32"/>
          <w:lang w:val="en-US" w:eastAsia="zh-CN" w:bidi="en-US"/>
        </w:rPr>
        <w:t>4</w:t>
      </w:r>
      <w:r>
        <w:rPr>
          <w:rFonts w:hint="eastAsia" w:ascii="仿宋_GB2312" w:hAnsi="仿宋_GB2312" w:eastAsia="仿宋_GB2312" w:cs="仿宋_GB2312"/>
          <w:b w:val="0"/>
          <w:bCs w:val="0"/>
          <w:color w:val="auto"/>
          <w:kern w:val="0"/>
          <w:sz w:val="32"/>
          <w:szCs w:val="32"/>
          <w:lang w:val="en-US" w:eastAsia="zh-CN" w:bidi="en-US"/>
        </w:rPr>
        <w:t>年，市中区科学技术局共承办区政协十届三次会议提案3件、协办4件，办复率100%。</w:t>
      </w:r>
    </w:p>
    <w:p w14:paraId="75C9DA38">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14:paraId="13DCBCE8">
      <w:pPr>
        <w:pStyle w:val="2"/>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仿宋_GB2312" w:hAnsi="仿宋_GB2312" w:eastAsia="仿宋_GB2312" w:cs="仿宋_GB2312"/>
          <w:b w:val="0"/>
          <w:bCs w:val="0"/>
          <w:color w:val="auto"/>
          <w:kern w:val="0"/>
          <w:sz w:val="32"/>
          <w:szCs w:val="32"/>
          <w:lang w:val="en-US" w:eastAsia="zh-CN" w:bidi="en-US"/>
        </w:rPr>
      </w:pPr>
      <w:r>
        <w:rPr>
          <w:rFonts w:hint="default" w:ascii="仿宋_GB2312" w:hAnsi="仿宋_GB2312" w:eastAsia="仿宋_GB2312" w:cs="仿宋_GB2312"/>
          <w:b w:val="0"/>
          <w:bCs w:val="0"/>
          <w:color w:val="auto"/>
          <w:kern w:val="0"/>
          <w:sz w:val="32"/>
          <w:szCs w:val="32"/>
          <w:lang w:val="en-US" w:eastAsia="zh-CN" w:bidi="en-US"/>
        </w:rPr>
        <w:t>202</w:t>
      </w:r>
      <w:r>
        <w:rPr>
          <w:rFonts w:hint="eastAsia" w:cs="仿宋_GB2312"/>
          <w:b w:val="0"/>
          <w:bCs w:val="0"/>
          <w:color w:val="auto"/>
          <w:kern w:val="0"/>
          <w:sz w:val="32"/>
          <w:szCs w:val="32"/>
          <w:lang w:val="en-US" w:eastAsia="zh-CN" w:bidi="en-US"/>
        </w:rPr>
        <w:t>4</w:t>
      </w:r>
      <w:r>
        <w:rPr>
          <w:rFonts w:hint="default" w:ascii="仿宋_GB2312" w:hAnsi="仿宋_GB2312" w:eastAsia="仿宋_GB2312" w:cs="仿宋_GB2312"/>
          <w:b w:val="0"/>
          <w:bCs w:val="0"/>
          <w:color w:val="auto"/>
          <w:kern w:val="0"/>
          <w:sz w:val="32"/>
          <w:szCs w:val="32"/>
          <w:lang w:val="en-US" w:eastAsia="zh-CN" w:bidi="en-US"/>
        </w:rPr>
        <w:t>年，市中区</w:t>
      </w:r>
      <w:r>
        <w:rPr>
          <w:rFonts w:hint="eastAsia" w:ascii="仿宋_GB2312" w:hAnsi="仿宋_GB2312" w:eastAsia="仿宋_GB2312" w:cs="仿宋_GB2312"/>
          <w:b w:val="0"/>
          <w:bCs w:val="0"/>
          <w:color w:val="auto"/>
          <w:kern w:val="0"/>
          <w:sz w:val="32"/>
          <w:szCs w:val="32"/>
          <w:lang w:val="en-US" w:eastAsia="zh-CN" w:bidi="en-US"/>
        </w:rPr>
        <w:t>科学技术局</w:t>
      </w:r>
      <w:r>
        <w:rPr>
          <w:rFonts w:hint="default" w:ascii="仿宋_GB2312" w:hAnsi="仿宋_GB2312" w:eastAsia="仿宋_GB2312" w:cs="仿宋_GB2312"/>
          <w:b w:val="0"/>
          <w:bCs w:val="0"/>
          <w:color w:val="auto"/>
          <w:kern w:val="0"/>
          <w:sz w:val="32"/>
          <w:szCs w:val="32"/>
          <w:lang w:val="en-US" w:eastAsia="zh-CN" w:bidi="en-US"/>
        </w:rPr>
        <w:t>依托区政府门户网站，积极发布</w:t>
      </w:r>
      <w:r>
        <w:rPr>
          <w:rFonts w:hint="eastAsia" w:cs="仿宋_GB2312"/>
          <w:b w:val="0"/>
          <w:bCs w:val="0"/>
          <w:color w:val="auto"/>
          <w:kern w:val="0"/>
          <w:sz w:val="32"/>
          <w:szCs w:val="32"/>
          <w:lang w:val="en-US" w:eastAsia="zh-CN" w:bidi="en-US"/>
        </w:rPr>
        <w:t>科技</w:t>
      </w:r>
      <w:r>
        <w:rPr>
          <w:rFonts w:hint="default" w:ascii="仿宋_GB2312" w:hAnsi="仿宋_GB2312" w:eastAsia="仿宋_GB2312" w:cs="仿宋_GB2312"/>
          <w:b w:val="0"/>
          <w:bCs w:val="0"/>
          <w:color w:val="auto"/>
          <w:kern w:val="0"/>
          <w:sz w:val="32"/>
          <w:szCs w:val="32"/>
          <w:lang w:val="en-US" w:eastAsia="zh-CN" w:bidi="en-US"/>
        </w:rPr>
        <w:t>领域动态和政策措施，通过“幸福微市中”微信公众号，多渠道开展政务公开工作。</w:t>
      </w:r>
    </w:p>
    <w:p w14:paraId="4726F15A">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其他需要报告事项</w:t>
      </w:r>
    </w:p>
    <w:p w14:paraId="15F66564">
      <w:pPr>
        <w:pStyle w:val="2"/>
        <w:keepNext w:val="0"/>
        <w:keepLines w:val="0"/>
        <w:pageBreakBefore w:val="0"/>
        <w:kinsoku/>
        <w:wordWrap/>
        <w:overflowPunct/>
        <w:topLinePunct w:val="0"/>
        <w:autoSpaceDE/>
        <w:autoSpaceDN/>
        <w:bidi w:val="0"/>
        <w:adjustRightInd/>
        <w:snapToGrid/>
        <w:spacing w:line="560" w:lineRule="exact"/>
        <w:ind w:left="0" w:right="0" w:firstLine="640" w:firstLineChars="200"/>
        <w:jc w:val="both"/>
        <w:textAlignment w:val="auto"/>
        <w:rPr>
          <w:b w:val="0"/>
          <w:bCs w:val="0"/>
          <w:color w:val="auto"/>
        </w:rPr>
      </w:pPr>
      <w:r>
        <w:rPr>
          <w:rFonts w:eastAsia="仿宋_GB2312"/>
          <w:b w:val="0"/>
          <w:bCs w:val="0"/>
          <w:color w:val="auto"/>
          <w:sz w:val="32"/>
          <w:szCs w:val="32"/>
          <w:shd w:val="clear" w:color="auto" w:fill="FFFFFF"/>
          <w:lang w:eastAsia="zh-CN"/>
        </w:rPr>
        <w:t>本报告所列数据的统计时限自202</w:t>
      </w:r>
      <w:r>
        <w:rPr>
          <w:rFonts w:hint="eastAsia"/>
          <w:b w:val="0"/>
          <w:bCs w:val="0"/>
          <w:color w:val="auto"/>
          <w:sz w:val="32"/>
          <w:szCs w:val="32"/>
          <w:shd w:val="clear" w:color="auto" w:fill="FFFFFF"/>
          <w:lang w:val="en-US" w:eastAsia="zh-CN"/>
        </w:rPr>
        <w:t>4</w:t>
      </w:r>
      <w:r>
        <w:rPr>
          <w:rFonts w:eastAsia="仿宋_GB2312"/>
          <w:b w:val="0"/>
          <w:bCs w:val="0"/>
          <w:color w:val="auto"/>
          <w:sz w:val="32"/>
          <w:szCs w:val="32"/>
          <w:shd w:val="clear" w:color="auto" w:fill="FFFFFF"/>
          <w:lang w:eastAsia="zh-CN"/>
        </w:rPr>
        <w:t>年1月1日</w:t>
      </w:r>
      <w:r>
        <w:rPr>
          <w:rFonts w:hint="eastAsia" w:eastAsia="仿宋_GB2312"/>
          <w:b w:val="0"/>
          <w:bCs w:val="0"/>
          <w:color w:val="auto"/>
          <w:sz w:val="32"/>
          <w:szCs w:val="32"/>
          <w:shd w:val="clear" w:color="auto" w:fill="FFFFFF"/>
          <w:lang w:val="en-US" w:eastAsia="zh-CN"/>
        </w:rPr>
        <w:t>起</w:t>
      </w:r>
      <w:r>
        <w:rPr>
          <w:rFonts w:eastAsia="仿宋_GB2312"/>
          <w:b w:val="0"/>
          <w:bCs w:val="0"/>
          <w:color w:val="auto"/>
          <w:sz w:val="32"/>
          <w:szCs w:val="32"/>
          <w:shd w:val="clear" w:color="auto" w:fill="FFFFFF"/>
          <w:lang w:eastAsia="zh-CN"/>
        </w:rPr>
        <w:t>至202</w:t>
      </w:r>
      <w:r>
        <w:rPr>
          <w:rFonts w:hint="eastAsia"/>
          <w:b w:val="0"/>
          <w:bCs w:val="0"/>
          <w:color w:val="auto"/>
          <w:sz w:val="32"/>
          <w:szCs w:val="32"/>
          <w:shd w:val="clear" w:color="auto" w:fill="FFFFFF"/>
          <w:lang w:val="en-US" w:eastAsia="zh-CN"/>
        </w:rPr>
        <w:t>4</w:t>
      </w:r>
      <w:r>
        <w:rPr>
          <w:rFonts w:eastAsia="仿宋_GB2312"/>
          <w:b w:val="0"/>
          <w:bCs w:val="0"/>
          <w:color w:val="auto"/>
          <w:sz w:val="32"/>
          <w:szCs w:val="32"/>
          <w:shd w:val="clear" w:color="auto" w:fill="FFFFFF"/>
          <w:lang w:eastAsia="zh-CN"/>
        </w:rPr>
        <w:t>年12月31日</w:t>
      </w:r>
      <w:r>
        <w:rPr>
          <w:rFonts w:hint="eastAsia" w:eastAsia="仿宋_GB2312"/>
          <w:b w:val="0"/>
          <w:bCs w:val="0"/>
          <w:color w:val="auto"/>
          <w:sz w:val="32"/>
          <w:szCs w:val="32"/>
          <w:shd w:val="clear" w:color="auto" w:fill="FFFFFF"/>
          <w:lang w:val="en-US" w:eastAsia="zh-CN"/>
        </w:rPr>
        <w:t>止</w:t>
      </w:r>
      <w:r>
        <w:rPr>
          <w:rFonts w:eastAsia="仿宋_GB2312"/>
          <w:b w:val="0"/>
          <w:bCs w:val="0"/>
          <w:color w:val="auto"/>
          <w:sz w:val="32"/>
          <w:szCs w:val="32"/>
          <w:shd w:val="clear" w:color="auto" w:fill="FFFFFF"/>
          <w:lang w:eastAsia="zh-CN"/>
        </w:rPr>
        <w:t>。如对本报告有疑问，</w:t>
      </w:r>
      <w:r>
        <w:rPr>
          <w:b w:val="0"/>
          <w:bCs w:val="0"/>
          <w:color w:val="auto"/>
          <w:spacing w:val="-7"/>
        </w:rPr>
        <w:t>可与市中区科学技术</w:t>
      </w:r>
      <w:r>
        <w:rPr>
          <w:b w:val="0"/>
          <w:bCs w:val="0"/>
          <w:color w:val="auto"/>
          <w:spacing w:val="-34"/>
        </w:rPr>
        <w:t>局联系</w:t>
      </w:r>
      <w:r>
        <w:rPr>
          <w:b w:val="0"/>
          <w:bCs w:val="0"/>
          <w:color w:val="auto"/>
        </w:rPr>
        <w:t>（地址</w:t>
      </w:r>
      <w:r>
        <w:rPr>
          <w:rFonts w:ascii="Times New Roman" w:eastAsia="Times New Roman"/>
          <w:b w:val="0"/>
          <w:bCs w:val="0"/>
          <w:color w:val="auto"/>
        </w:rPr>
        <w:t>:</w:t>
      </w:r>
      <w:r>
        <w:rPr>
          <w:b w:val="0"/>
          <w:bCs w:val="0"/>
          <w:color w:val="auto"/>
          <w:spacing w:val="-9"/>
        </w:rPr>
        <w:t xml:space="preserve">枣庄市市中区君山中路 </w:t>
      </w:r>
      <w:r>
        <w:rPr>
          <w:rFonts w:ascii="Times New Roman" w:eastAsia="Times New Roman"/>
          <w:b w:val="0"/>
          <w:bCs w:val="0"/>
          <w:color w:val="auto"/>
        </w:rPr>
        <w:t>321</w:t>
      </w:r>
      <w:r>
        <w:rPr>
          <w:b w:val="0"/>
          <w:bCs w:val="0"/>
          <w:color w:val="auto"/>
          <w:spacing w:val="-24"/>
        </w:rPr>
        <w:t>号，邮编：</w:t>
      </w:r>
      <w:r>
        <w:rPr>
          <w:rFonts w:ascii="Times New Roman" w:eastAsia="Times New Roman"/>
          <w:b w:val="0"/>
          <w:bCs w:val="0"/>
          <w:color w:val="auto"/>
          <w:spacing w:val="-13"/>
        </w:rPr>
        <w:t>277100</w:t>
      </w:r>
      <w:r>
        <w:rPr>
          <w:b w:val="0"/>
          <w:bCs w:val="0"/>
          <w:color w:val="auto"/>
          <w:spacing w:val="-13"/>
        </w:rPr>
        <w:t xml:space="preserve">， </w:t>
      </w:r>
      <w:r>
        <w:rPr>
          <w:b w:val="0"/>
          <w:bCs w:val="0"/>
          <w:color w:val="auto"/>
          <w:spacing w:val="-34"/>
        </w:rPr>
        <w:t>电话：</w:t>
      </w:r>
      <w:r>
        <w:rPr>
          <w:rFonts w:ascii="Times New Roman" w:eastAsia="Times New Roman"/>
          <w:b w:val="0"/>
          <w:bCs w:val="0"/>
          <w:color w:val="auto"/>
          <w:spacing w:val="-23"/>
        </w:rPr>
        <w:t>0632-3083197</w:t>
      </w:r>
      <w:r>
        <w:rPr>
          <w:b w:val="0"/>
          <w:bCs w:val="0"/>
          <w:color w:val="auto"/>
          <w:spacing w:val="-30"/>
        </w:rPr>
        <w:t>，电子邮箱：</w:t>
      </w:r>
      <w:r>
        <w:rPr>
          <w:rFonts w:hint="default" w:ascii="Times New Roman" w:hAnsi="Times New Roman" w:eastAsia="仿宋_GB2312" w:cs="Times New Roman"/>
          <w:b w:val="0"/>
          <w:bCs w:val="0"/>
          <w:color w:val="auto"/>
          <w:sz w:val="32"/>
          <w:szCs w:val="32"/>
          <w:shd w:val="clear" w:color="auto" w:fill="FFFFFF"/>
          <w:lang w:val="en-US" w:eastAsia="zh-CN"/>
        </w:rPr>
        <w:t>zzszkj@163.com</w:t>
      </w:r>
      <w:r>
        <w:rPr>
          <w:b w:val="0"/>
          <w:bCs w:val="0"/>
          <w:color w:val="auto"/>
        </w:rPr>
        <w:t>）。</w:t>
      </w:r>
    </w:p>
    <w:p w14:paraId="76FE9529">
      <w:pPr>
        <w:keepNext w:val="0"/>
        <w:keepLines w:val="0"/>
        <w:pageBreakBefore w:val="0"/>
        <w:widowControl/>
        <w:kinsoku/>
        <w:wordWrap/>
        <w:overflowPunct/>
        <w:topLinePunct w:val="0"/>
        <w:autoSpaceDE/>
        <w:autoSpaceDN/>
        <w:bidi w:val="0"/>
        <w:adjustRightInd/>
        <w:snapToGrid/>
        <w:spacing w:line="560" w:lineRule="exact"/>
        <w:ind w:left="0" w:right="0" w:firstLine="643" w:firstLineChars="200"/>
        <w:contextualSpacing/>
        <w:textAlignment w:val="auto"/>
        <w:rPr>
          <w:rFonts w:hint="eastAsia" w:eastAsia="仿宋_GB2312"/>
          <w:b/>
          <w:bCs/>
          <w:color w:val="auto"/>
          <w:sz w:val="32"/>
          <w:szCs w:val="32"/>
          <w:shd w:val="clear" w:color="auto" w:fill="FFFFFF"/>
          <w:lang w:val="en-US" w:eastAsia="zh-CN"/>
        </w:rPr>
      </w:pPr>
    </w:p>
    <w:p w14:paraId="64699D13">
      <w:pPr>
        <w:keepNext w:val="0"/>
        <w:keepLines w:val="0"/>
        <w:pageBreakBefore w:val="0"/>
        <w:widowControl/>
        <w:kinsoku/>
        <w:wordWrap/>
        <w:overflowPunct/>
        <w:topLinePunct w:val="0"/>
        <w:autoSpaceDE/>
        <w:autoSpaceDN/>
        <w:bidi w:val="0"/>
        <w:adjustRightInd/>
        <w:snapToGrid/>
        <w:spacing w:line="560" w:lineRule="exact"/>
        <w:ind w:left="0" w:right="0" w:firstLine="643" w:firstLineChars="200"/>
        <w:contextualSpacing/>
        <w:textAlignment w:val="auto"/>
        <w:rPr>
          <w:rFonts w:hint="eastAsia" w:eastAsia="仿宋_GB2312"/>
          <w:b/>
          <w:bCs/>
          <w:color w:val="auto"/>
          <w:sz w:val="32"/>
          <w:szCs w:val="32"/>
          <w:shd w:val="clear" w:color="auto" w:fill="FFFFFF"/>
          <w:lang w:val="en-US" w:eastAsia="zh-CN"/>
        </w:rPr>
      </w:pPr>
    </w:p>
    <w:p w14:paraId="1AE2BFC4">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color w:val="auto"/>
          <w:sz w:val="32"/>
          <w:szCs w:val="32"/>
          <w:lang w:val="en-US" w:eastAsia="zh-CN"/>
        </w:rPr>
        <w:t xml:space="preserve">市中区科学技术局 </w:t>
      </w:r>
    </w:p>
    <w:p w14:paraId="74089219">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2025年1月15日</w:t>
      </w:r>
    </w:p>
    <w:p w14:paraId="14D60519">
      <w:pPr>
        <w:rPr>
          <w:rFonts w:hint="eastAsia" w:eastAsiaTheme="minorEastAsia"/>
          <w:color w:val="auto"/>
          <w:lang w:eastAsia="zh-CN"/>
        </w:rPr>
      </w:pPr>
    </w:p>
    <w:bookmarkEnd w:id="9"/>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DB2DD">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5ACC6A8">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nwhHuUBAADHAwAA&#10;DgAAAAAAAAABACAAAAAeAQAAZHJzL2Uyb0RvYy54bWxQSwUGAAAAAAYABgBZAQAAdQUAAAAA&#10;">
              <v:fill on="f" focussize="0,0"/>
              <v:stroke on="f"/>
              <v:imagedata o:title=""/>
              <o:lock v:ext="edit" aspectratio="f"/>
              <v:textbox inset="0mm,0mm,0mm,0mm" style="mso-fit-shape-to-text:t;">
                <w:txbxContent>
                  <w:p w14:paraId="55ACC6A8">
                    <w:pPr>
                      <w:pStyle w:val="3"/>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1C731">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14:paraId="7F9360D4">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7216;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1QpuN2AAAAA0BAAAPAAAAAAAAAAEAIAAAACIAAABkcnMvZG93bnJldi54bWxQSwEC&#10;FAAUAAAACACHTuJAsUjyxrsBAACXAwAADgAAAAAAAAABACAAAAAnAQAAZHJzL2Uyb0RvYy54bWxQ&#10;SwUGAAAAAAYABgBZAQAAVAUAAAAA&#10;">
              <v:fill on="f" focussize="0,0"/>
              <v:stroke on="f"/>
              <v:imagedata o:title=""/>
              <o:lock v:ext="edit" aspectratio="f"/>
              <v:textbox inset="0mm,0mm,0mm,0mm" style="mso-fit-shape-to-text:t;">
                <w:txbxContent>
                  <w:p w14:paraId="7F9360D4">
                    <w:pPr>
                      <w:pStyle w:val="9"/>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21E3C">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07D2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BF310"/>
    <w:multiLevelType w:val="singleLevel"/>
    <w:tmpl w:val="909BF310"/>
    <w:lvl w:ilvl="0" w:tentative="0">
      <w:start w:val="3"/>
      <w:numFmt w:val="chineseCounting"/>
      <w:suff w:val="nothing"/>
      <w:lvlText w:val="（%1）"/>
      <w:lvlJc w:val="left"/>
      <w:rPr>
        <w:rFonts w:hint="eastAsia"/>
      </w:rPr>
    </w:lvl>
  </w:abstractNum>
  <w:abstractNum w:abstractNumId="1">
    <w:nsid w:val="DBC29E1C"/>
    <w:multiLevelType w:val="singleLevel"/>
    <w:tmpl w:val="DBC29E1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GMyMzQzMjRhZGU1ZjM0MzdkMDMwYmZjOTc2ZGQifQ=="/>
  </w:docVars>
  <w:rsids>
    <w:rsidRoot w:val="00112B69"/>
    <w:rsid w:val="00081823"/>
    <w:rsid w:val="00112B69"/>
    <w:rsid w:val="005A70FF"/>
    <w:rsid w:val="00B03096"/>
    <w:rsid w:val="00F0539A"/>
    <w:rsid w:val="021D046B"/>
    <w:rsid w:val="025E0CC2"/>
    <w:rsid w:val="02924A37"/>
    <w:rsid w:val="03C045F1"/>
    <w:rsid w:val="0A3E1141"/>
    <w:rsid w:val="0B8F2AB2"/>
    <w:rsid w:val="0CD07ED2"/>
    <w:rsid w:val="0D426B65"/>
    <w:rsid w:val="0DB7343A"/>
    <w:rsid w:val="101A475B"/>
    <w:rsid w:val="17490EF2"/>
    <w:rsid w:val="180B650F"/>
    <w:rsid w:val="1AAF71B2"/>
    <w:rsid w:val="1D276D79"/>
    <w:rsid w:val="1DC53412"/>
    <w:rsid w:val="1FD24907"/>
    <w:rsid w:val="2007106B"/>
    <w:rsid w:val="227F4F5F"/>
    <w:rsid w:val="24B65C7B"/>
    <w:rsid w:val="271F6DB2"/>
    <w:rsid w:val="28BE4FD8"/>
    <w:rsid w:val="2A366FA5"/>
    <w:rsid w:val="2A6E4A40"/>
    <w:rsid w:val="2B247393"/>
    <w:rsid w:val="2B7E7F7A"/>
    <w:rsid w:val="34C27E73"/>
    <w:rsid w:val="35DB6085"/>
    <w:rsid w:val="372B44B7"/>
    <w:rsid w:val="37DD4F2A"/>
    <w:rsid w:val="3CA63654"/>
    <w:rsid w:val="424E6C95"/>
    <w:rsid w:val="42962A0C"/>
    <w:rsid w:val="43677CBB"/>
    <w:rsid w:val="4A263FB9"/>
    <w:rsid w:val="4BE16E0F"/>
    <w:rsid w:val="5A891C07"/>
    <w:rsid w:val="5AE6494C"/>
    <w:rsid w:val="5EA95810"/>
    <w:rsid w:val="62A02DE5"/>
    <w:rsid w:val="62DF0CAC"/>
    <w:rsid w:val="64490C92"/>
    <w:rsid w:val="6EC52406"/>
    <w:rsid w:val="70C8432B"/>
    <w:rsid w:val="71742F46"/>
    <w:rsid w:val="72BB477E"/>
    <w:rsid w:val="743334DA"/>
    <w:rsid w:val="754C48A1"/>
    <w:rsid w:val="7B3771B5"/>
    <w:rsid w:val="7B8C0E3D"/>
    <w:rsid w:val="7D726BF8"/>
    <w:rsid w:val="7EF3133E"/>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b/>
      <w:bCs/>
      <w:sz w:val="32"/>
      <w:szCs w:val="3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pPr>
    <w:rPr>
      <w:rFonts w:ascii="宋体" w:hAnsi="宋体" w:cs="宋体"/>
    </w:rPr>
  </w:style>
  <w:style w:type="character" w:styleId="7">
    <w:name w:val="Strong"/>
    <w:basedOn w:val="6"/>
    <w:qFormat/>
    <w:uiPriority w:val="22"/>
    <w:rPr>
      <w:b/>
    </w:rPr>
  </w:style>
  <w:style w:type="character" w:styleId="8">
    <w:name w:val="Hyperlink"/>
    <w:basedOn w:val="6"/>
    <w:semiHidden/>
    <w:unhideWhenUsed/>
    <w:qFormat/>
    <w:uiPriority w:val="99"/>
    <w:rPr>
      <w:color w:val="0000FF"/>
      <w:u w:val="single"/>
    </w:rPr>
  </w:style>
  <w:style w:type="paragraph" w:customStyle="1" w:styleId="9">
    <w:name w:val="Header or footer|1"/>
    <w:basedOn w:val="1"/>
    <w:qFormat/>
    <w:uiPriority w:val="0"/>
    <w:rPr>
      <w:sz w:val="26"/>
      <w:szCs w:val="26"/>
      <w:lang w:val="zh-TW" w:eastAsia="zh-TW" w:bidi="zh-TW"/>
    </w:rPr>
  </w:style>
  <w:style w:type="paragraph" w:customStyle="1" w:styleId="10">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1">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2">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13">
    <w:name w:val="Table Paragraph"/>
    <w:basedOn w:val="1"/>
    <w:qFormat/>
    <w:uiPriority w:val="1"/>
    <w:pPr>
      <w:spacing w:before="127"/>
      <w:ind w:left="11"/>
    </w:pPr>
    <w:rPr>
      <w:rFonts w:ascii="仿宋_GB2312" w:hAnsi="仿宋_GB2312" w:eastAsia="仿宋_GB2312" w:cs="仿宋_GB231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2508</Words>
  <Characters>2669</Characters>
  <Lines>53</Lines>
  <Paragraphs>15</Paragraphs>
  <TotalTime>6</TotalTime>
  <ScaleCrop>false</ScaleCrop>
  <LinksUpToDate>false</LinksUpToDate>
  <CharactersWithSpaces>2688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周忠伟</cp:lastModifiedBy>
  <cp:lastPrinted>2025-01-07T09:22:00Z</cp:lastPrinted>
  <dcterms:modified xsi:type="dcterms:W3CDTF">2025-01-15T08:36:01Z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031F487757684A8BB93D40FCCF256691_13</vt:lpwstr>
  </property>
  <property fmtid="{D5CDD505-2E9C-101B-9397-08002B2CF9AE}" pid="4" name="KSOTemplateDocerSaveRecord">
    <vt:lpwstr>eyJoZGlkIjoiMzdmMjEzMmFhNmZiMjI4ODg2ODkyYjhiMDJkNjRiNmMiLCJ1c2VySWQiOiI0MjUwMDQ3MzIifQ==</vt:lpwstr>
  </property>
</Properties>
</file>