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auto"/>
          <w:sz w:val="44"/>
          <w:szCs w:val="44"/>
          <w:lang w:eastAsia="zh-CN"/>
        </w:rPr>
      </w:pPr>
      <w:r>
        <w:rPr>
          <w:rFonts w:eastAsia="方正小标宋简体"/>
          <w:color w:val="auto"/>
          <w:sz w:val="44"/>
          <w:szCs w:val="44"/>
          <w:lang w:eastAsia="zh-CN"/>
        </w:rPr>
        <w:t>市中区教育和体育局</w:t>
      </w:r>
    </w:p>
    <w:p>
      <w:pPr>
        <w:jc w:val="center"/>
        <w:rPr>
          <w:rFonts w:eastAsia="方正小标宋简体"/>
          <w:color w:val="auto"/>
          <w:sz w:val="44"/>
          <w:szCs w:val="44"/>
          <w:lang w:eastAsia="zh-CN"/>
        </w:rPr>
      </w:pPr>
      <w:r>
        <w:rPr>
          <w:rFonts w:eastAsia="方正小标宋简体"/>
          <w:color w:val="auto"/>
          <w:sz w:val="44"/>
          <w:szCs w:val="44"/>
          <w:lang w:eastAsia="zh-CN"/>
        </w:rPr>
        <w:t>2023年政府信息公开工作年度报告</w:t>
      </w:r>
    </w:p>
    <w:p>
      <w:pPr>
        <w:ind w:firstLine="640" w:firstLineChars="200"/>
        <w:rPr>
          <w:rFonts w:eastAsia="黑体"/>
          <w:color w:val="auto"/>
          <w:sz w:val="32"/>
          <w:szCs w:val="32"/>
          <w:shd w:val="clear" w:color="auto" w:fill="FFFFFF"/>
          <w:lang w:eastAsia="zh-CN"/>
        </w:rPr>
      </w:pPr>
    </w:p>
    <w:p>
      <w:pPr>
        <w:widowControl/>
        <w:spacing w:line="560" w:lineRule="exact"/>
        <w:ind w:firstLine="640" w:firstLineChars="200"/>
        <w:contextualSpacing/>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本年度报告根据《中华人民共和国政府信息公开条例》和《国务院办公厅政府信息与政务公开办公室关于印发</w:t>
      </w:r>
      <w:r>
        <w:rPr>
          <w:rFonts w:hint="eastAsia" w:eastAsia="仿宋_GB2312"/>
          <w:color w:val="auto"/>
          <w:sz w:val="32"/>
          <w:szCs w:val="32"/>
          <w:shd w:val="clear" w:color="auto" w:fill="FFFFFF"/>
          <w:lang w:eastAsia="zh-CN"/>
        </w:rPr>
        <w:t>&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w:t>
      </w:r>
      <w:r>
        <w:rPr>
          <w:rFonts w:eastAsia="仿宋_GB2312"/>
          <w:color w:val="auto"/>
          <w:sz w:val="32"/>
          <w:szCs w:val="32"/>
          <w:shd w:val="clear" w:color="auto" w:fill="FFFFFF"/>
          <w:lang w:eastAsia="zh-CN"/>
        </w:rPr>
        <w:t>。如对本报告有疑问，可与</w:t>
      </w:r>
      <w:bookmarkStart w:id="0" w:name="_Hlk155355873"/>
      <w:r>
        <w:rPr>
          <w:rFonts w:eastAsia="仿宋_GB2312"/>
          <w:color w:val="auto"/>
          <w:sz w:val="32"/>
          <w:szCs w:val="32"/>
          <w:shd w:val="clear" w:color="auto" w:fill="FFFFFF"/>
          <w:lang w:eastAsia="zh-CN"/>
        </w:rPr>
        <w:t>市中区</w:t>
      </w:r>
      <w:bookmarkStart w:id="1" w:name="_Hlk155358109"/>
      <w:r>
        <w:rPr>
          <w:rFonts w:eastAsia="仿宋_GB2312"/>
          <w:color w:val="auto"/>
          <w:sz w:val="32"/>
          <w:szCs w:val="32"/>
          <w:shd w:val="clear" w:color="auto" w:fill="FFFFFF"/>
          <w:lang w:eastAsia="zh-CN"/>
        </w:rPr>
        <w:t>教育和体育局</w:t>
      </w:r>
      <w:bookmarkEnd w:id="0"/>
      <w:bookmarkEnd w:id="1"/>
      <w:r>
        <w:rPr>
          <w:rFonts w:eastAsia="仿宋_GB2312"/>
          <w:color w:val="auto"/>
          <w:sz w:val="32"/>
          <w:szCs w:val="32"/>
          <w:shd w:val="clear" w:color="auto" w:fill="FFFFFF"/>
          <w:lang w:eastAsia="zh-CN"/>
        </w:rPr>
        <w:t>联系（地址:枣庄市市中区兴华西路，邮编：277100，电话：0632-3344217，</w:t>
      </w:r>
      <w:r>
        <w:rPr>
          <w:rFonts w:eastAsia="仿宋_GB2312"/>
          <w:color w:val="auto"/>
          <w:sz w:val="32"/>
          <w:szCs w:val="32"/>
          <w:shd w:val="clear" w:color="auto" w:fill="FFFFFF"/>
          <w:lang w:eastAsia="zh-CN" w:bidi="ar"/>
        </w:rPr>
        <w:t>电子邮箱：</w:t>
      </w:r>
      <w:bookmarkStart w:id="2" w:name="_Hlk155360090"/>
      <w:r>
        <w:rPr>
          <w:rFonts w:eastAsia="仿宋_GB2312"/>
          <w:color w:val="auto"/>
          <w:sz w:val="32"/>
          <w:szCs w:val="32"/>
          <w:shd w:val="clear" w:color="auto" w:fill="FFFFFF"/>
          <w:lang w:eastAsia="zh-CN" w:bidi="ar"/>
        </w:rPr>
        <w:t>szqjtj</w:t>
      </w:r>
      <w:bookmarkEnd w:id="2"/>
      <w:r>
        <w:rPr>
          <w:rFonts w:eastAsia="仿宋_GB2312"/>
          <w:color w:val="auto"/>
          <w:sz w:val="32"/>
          <w:szCs w:val="32"/>
          <w:shd w:val="clear" w:color="auto" w:fill="FFFFFF"/>
          <w:lang w:eastAsia="zh-CN" w:bidi="ar"/>
        </w:rPr>
        <w:t>@zz.shandong.cn</w:t>
      </w:r>
      <w:r>
        <w:rPr>
          <w:rFonts w:eastAsia="仿宋_GB2312"/>
          <w:color w:val="auto"/>
          <w:sz w:val="32"/>
          <w:szCs w:val="32"/>
          <w:shd w:val="clear" w:color="auto" w:fill="FFFFFF"/>
          <w:lang w:eastAsia="zh-CN"/>
        </w:rPr>
        <w:t>。</w:t>
      </w:r>
    </w:p>
    <w:p>
      <w:pPr>
        <w:spacing w:line="560" w:lineRule="exact"/>
        <w:ind w:firstLine="643" w:firstLineChars="200"/>
        <w:rPr>
          <w:rFonts w:eastAsia="黑体"/>
          <w:color w:val="auto"/>
          <w:sz w:val="32"/>
          <w:szCs w:val="32"/>
          <w:shd w:val="clear" w:color="auto" w:fill="FFFFFF"/>
          <w:lang w:eastAsia="zh-CN"/>
        </w:rPr>
      </w:pPr>
      <w:r>
        <w:rPr>
          <w:rFonts w:eastAsia="黑体"/>
          <w:b/>
          <w:bCs/>
          <w:color w:val="auto"/>
          <w:sz w:val="32"/>
          <w:szCs w:val="32"/>
          <w:shd w:val="clear" w:color="auto" w:fill="FFFFFF"/>
          <w:lang w:eastAsia="zh-CN"/>
        </w:rPr>
        <w:t>一、总体情况</w:t>
      </w:r>
    </w:p>
    <w:p>
      <w:pPr>
        <w:widowControl/>
        <w:spacing w:line="560" w:lineRule="exact"/>
        <w:ind w:firstLine="640" w:firstLineChars="200"/>
        <w:contextualSpacing/>
        <w:rPr>
          <w:rFonts w:eastAsia="黑体"/>
          <w:bCs/>
          <w:color w:val="auto"/>
          <w:sz w:val="32"/>
          <w:szCs w:val="32"/>
          <w:lang w:eastAsia="zh-CN"/>
        </w:rPr>
      </w:pPr>
      <w:r>
        <w:rPr>
          <w:rFonts w:eastAsia="仿宋_GB2312"/>
          <w:bCs/>
          <w:color w:val="auto"/>
          <w:sz w:val="32"/>
          <w:szCs w:val="32"/>
          <w:lang w:eastAsia="zh-CN"/>
        </w:rPr>
        <w:t>2023年，市中区教育和体育局认真贯彻落实《中华人民共和国政府信息公开条例》，着力健全完善信息公开工作体系，强化信息公开载体建设，结合市中区教育和体育局工作实际，进一步健全组织机构，完善信息公开机制，强化各项工作措施，在扩大公众知情权、满足公众信息需求方面取得了积极成效。</w:t>
      </w:r>
    </w:p>
    <w:p>
      <w:pPr>
        <w:widowControl/>
        <w:spacing w:line="560" w:lineRule="exact"/>
        <w:ind w:firstLine="643" w:firstLineChars="200"/>
        <w:contextualSpacing/>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（一）主动公开</w:t>
      </w:r>
    </w:p>
    <w:p>
      <w:pPr>
        <w:pStyle w:val="3"/>
        <w:shd w:val="clear" w:color="auto" w:fill="FFFFFF"/>
        <w:spacing w:before="0" w:beforeAutospacing="0" w:after="0" w:afterAutospacing="0"/>
        <w:jc w:val="both"/>
        <w:rPr>
          <w:rFonts w:ascii="Times New Roman" w:hAnsi="Times New Roman" w:eastAsia="仿宋_GB2312" w:cs="Times New Roman"/>
          <w:bCs/>
          <w:color w:val="auto"/>
          <w:sz w:val="32"/>
          <w:szCs w:val="32"/>
          <w:lang w:eastAsia="zh-CN"/>
        </w:rPr>
      </w:pPr>
      <w:r>
        <w:rPr>
          <w:rFonts w:ascii="Times New Roman" w:hAnsi="Times New Roman" w:eastAsia="黑体" w:cs="Times New Roman"/>
          <w:bCs/>
          <w:color w:val="auto"/>
          <w:sz w:val="32"/>
          <w:szCs w:val="32"/>
          <w:lang w:eastAsia="zh-CN"/>
        </w:rPr>
        <w:t xml:space="preserve">  </w:t>
      </w:r>
      <w:r>
        <w:rPr>
          <w:rFonts w:ascii="Times New Roman" w:hAnsi="Times New Roman" w:eastAsia="仿宋_GB2312" w:cs="Times New Roman"/>
          <w:bCs/>
          <w:color w:val="auto"/>
          <w:sz w:val="32"/>
          <w:szCs w:val="32"/>
          <w:lang w:eastAsia="zh-CN"/>
        </w:rPr>
        <w:t xml:space="preserve"> 结合工作实际，及时准确公开发布日常工作动态和相关政策文件，扎实做好政府信息主动公开工作，积极做好重点领域公开，梳理并更新完善本部门公共服务清单及服务事项指南，提高工作透明度，方便群众办事和监督，较好地满足了社会公众的信息需求。2023年，我局主动公开信息1564条，其中在区政府门户网站公开1402条，政务新媒体公开162条。</w:t>
      </w:r>
    </w:p>
    <w:p>
      <w:pPr>
        <w:widowControl/>
        <w:spacing w:line="560" w:lineRule="exact"/>
        <w:ind w:firstLine="643" w:firstLineChars="200"/>
        <w:contextualSpacing/>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（二）依申请公开</w:t>
      </w:r>
    </w:p>
    <w:p>
      <w:pPr>
        <w:spacing w:line="560" w:lineRule="exact"/>
        <w:ind w:firstLine="640" w:firstLineChars="200"/>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1.做好依申请公开工作，依法保障民众的知情权、参与权、表达权、监督权。2023年共受理政府依申请信息公开申请2件，已及时答复申请人。</w:t>
      </w:r>
    </w:p>
    <w:p>
      <w:pPr>
        <w:spacing w:line="560" w:lineRule="exact"/>
        <w:ind w:firstLine="640" w:firstLineChars="200"/>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2.本年度依申请公开政府信息未收取任何费用。</w:t>
      </w:r>
    </w:p>
    <w:p>
      <w:pPr>
        <w:spacing w:line="560" w:lineRule="exact"/>
        <w:ind w:firstLine="640" w:firstLineChars="200"/>
        <w:rPr>
          <w:rFonts w:eastAsia="仿宋_GB2312"/>
          <w:color w:val="auto"/>
          <w:sz w:val="32"/>
          <w:szCs w:val="32"/>
          <w:lang w:eastAsia="zh-CN"/>
        </w:rPr>
      </w:pPr>
      <w:r>
        <w:rPr>
          <w:rFonts w:hint="eastAsia" w:eastAsia="仿宋_GB2312"/>
          <w:color w:val="auto"/>
          <w:sz w:val="32"/>
          <w:szCs w:val="32"/>
          <w:shd w:val="clear" w:color="auto" w:fill="FFFFFF"/>
          <w:lang w:val="en-US" w:eastAsia="zh-CN"/>
        </w:rPr>
        <w:t>3.全年</w:t>
      </w:r>
      <w:r>
        <w:rPr>
          <w:rFonts w:eastAsia="仿宋_GB2312"/>
          <w:color w:val="auto"/>
          <w:sz w:val="32"/>
          <w:szCs w:val="32"/>
          <w:shd w:val="clear" w:color="auto" w:fill="FFFFFF"/>
          <w:lang w:eastAsia="zh-CN"/>
        </w:rPr>
        <w:t>因政府信息公开被申请行政复议1件，</w:t>
      </w:r>
      <w:r>
        <w:rPr>
          <w:rFonts w:hint="eastAsia" w:eastAsia="仿宋_GB2312"/>
          <w:color w:val="auto"/>
          <w:sz w:val="32"/>
          <w:szCs w:val="32"/>
          <w:shd w:val="clear" w:color="auto" w:fill="FFFFFF"/>
          <w:lang w:val="en-US" w:eastAsia="zh-CN"/>
        </w:rPr>
        <w:t>结果维持。</w:t>
      </w:r>
      <w:r>
        <w:rPr>
          <w:rFonts w:eastAsia="仿宋_GB2312"/>
          <w:color w:val="auto"/>
          <w:sz w:val="32"/>
          <w:szCs w:val="32"/>
          <w:shd w:val="clear" w:color="auto" w:fill="FFFFFF"/>
          <w:lang w:eastAsia="zh-CN"/>
        </w:rPr>
        <w:t>因公民、法人和其他组织认为行政机关政府信息公开工作具体行政行为侵犯其合法权益，提起行政诉讼0件。</w:t>
      </w:r>
    </w:p>
    <w:p>
      <w:pPr>
        <w:spacing w:line="560" w:lineRule="exact"/>
        <w:ind w:firstLine="643" w:firstLineChars="200"/>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（三）政府信息管理</w:t>
      </w:r>
    </w:p>
    <w:p>
      <w:pPr>
        <w:widowControl/>
        <w:shd w:val="clear" w:color="auto" w:fill="FFFFFF"/>
        <w:spacing w:line="560" w:lineRule="exact"/>
        <w:ind w:firstLine="640" w:firstLineChars="200"/>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一是坚持信息公开审查发布制度，坚决杜绝政治错误、内容差错；二是按照基层政务公开标准化规范化要求，认真梳理义务教育领域的标准目录，并按条目方式逐项细化分类，确保公开事项分类科学、名称规范、指向明确;三是及时做好相关栏目信息更新，做到有信息立即更新，注重时效性。</w:t>
      </w:r>
    </w:p>
    <w:p>
      <w:pPr>
        <w:widowControl/>
        <w:shd w:val="clear" w:color="auto" w:fill="FFFFFF"/>
        <w:spacing w:line="560" w:lineRule="exact"/>
        <w:ind w:firstLine="643" w:firstLineChars="200"/>
        <w:rPr>
          <w:rFonts w:eastAsia="黑体"/>
          <w:bCs/>
          <w:color w:val="auto"/>
          <w:sz w:val="32"/>
          <w:szCs w:val="32"/>
          <w:lang w:eastAsia="zh-CN"/>
        </w:rPr>
      </w:pPr>
      <w:r>
        <w:rPr>
          <w:rFonts w:hint="eastAsia" w:ascii="楷体_GB2312" w:hAnsi="楷体_GB2312" w:eastAsia="楷体_GB2312" w:cs="楷体_GB2312"/>
          <w:b/>
          <w:bCs w:val="0"/>
          <w:color w:val="auto"/>
          <w:sz w:val="32"/>
          <w:szCs w:val="32"/>
          <w:lang w:eastAsia="zh-CN"/>
        </w:rPr>
        <w:t>（四）政府信息公开平台建设</w:t>
      </w:r>
    </w:p>
    <w:p>
      <w:pPr>
        <w:widowControl/>
        <w:shd w:val="clear" w:color="auto" w:fill="FFFFFF"/>
        <w:spacing w:line="560" w:lineRule="exact"/>
        <w:ind w:firstLine="645"/>
        <w:rPr>
          <w:rFonts w:eastAsia="仿宋_GB2312"/>
          <w:color w:val="auto"/>
          <w:sz w:val="32"/>
          <w:szCs w:val="32"/>
          <w:lang w:eastAsia="zh-CN" w:bidi="ar-SA"/>
        </w:rPr>
      </w:pPr>
      <w:r>
        <w:rPr>
          <w:rFonts w:eastAsia="仿宋_GB2312"/>
          <w:color w:val="auto"/>
          <w:sz w:val="32"/>
          <w:szCs w:val="32"/>
          <w:shd w:val="clear" w:color="auto" w:fill="FFFFFF"/>
          <w:lang w:eastAsia="zh-CN"/>
        </w:rPr>
        <w:t>充分发挥</w:t>
      </w:r>
      <w:r>
        <w:rPr>
          <w:rFonts w:hint="eastAsia" w:eastAsia="仿宋_GB2312"/>
          <w:color w:val="auto"/>
          <w:sz w:val="32"/>
          <w:szCs w:val="32"/>
          <w:shd w:val="clear" w:color="auto" w:fill="FFFFFF"/>
          <w:lang w:val="en-US" w:eastAsia="zh-CN"/>
        </w:rPr>
        <w:t>政府网站和</w:t>
      </w:r>
      <w:r>
        <w:rPr>
          <w:rFonts w:eastAsia="仿宋_GB2312"/>
          <w:color w:val="auto"/>
          <w:sz w:val="32"/>
          <w:szCs w:val="32"/>
          <w:shd w:val="clear" w:color="auto" w:fill="FFFFFF"/>
          <w:lang w:eastAsia="zh-CN"/>
        </w:rPr>
        <w:t>政务新媒体的宣传作用，加大对重要政策及其解读等政府权威信息的推送力度，通过</w:t>
      </w:r>
      <w:r>
        <w:rPr>
          <w:rFonts w:hint="eastAsia" w:eastAsia="仿宋_GB2312"/>
          <w:color w:val="auto"/>
          <w:sz w:val="32"/>
          <w:szCs w:val="32"/>
          <w:shd w:val="clear" w:color="auto" w:fill="FFFFFF"/>
          <w:lang w:val="en-US" w:eastAsia="zh-CN"/>
        </w:rPr>
        <w:t>市中区政府网站、</w:t>
      </w:r>
      <w:r>
        <w:rPr>
          <w:rFonts w:eastAsia="仿宋_GB2312"/>
          <w:color w:val="auto"/>
          <w:sz w:val="32"/>
          <w:szCs w:val="32"/>
          <w:shd w:val="clear" w:color="auto" w:fill="FFFFFF"/>
          <w:lang w:eastAsia="zh-CN"/>
        </w:rPr>
        <w:t>“市中教体”微信公众号及时准确向公众传达教育体育的重要信息，使政务公开的范围和边界更加清晰，公开渠道更加多元，程序和运行更加规范，不断提升政务公开的精准性和实效性。</w:t>
      </w:r>
    </w:p>
    <w:p>
      <w:pPr>
        <w:widowControl/>
        <w:shd w:val="clear" w:color="auto" w:fill="FFFFFF"/>
        <w:spacing w:line="560" w:lineRule="exact"/>
        <w:ind w:firstLine="645"/>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eastAsia="zh-CN" w:bidi="ar-SA"/>
        </w:rPr>
        <w:t>（五）监督保障</w:t>
      </w:r>
    </w:p>
    <w:p>
      <w:pPr>
        <w:pStyle w:val="3"/>
        <w:shd w:val="clear" w:color="auto" w:fill="FFFFFF"/>
        <w:spacing w:before="0" w:beforeAutospacing="0" w:after="0" w:afterAutospacing="0" w:line="560" w:lineRule="exact"/>
        <w:ind w:firstLine="645"/>
        <w:rPr>
          <w:rFonts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val="en-US" w:eastAsia="zh-CN" w:bidi="ar-SA"/>
        </w:rPr>
        <w:t>调整</w:t>
      </w:r>
      <w:r>
        <w:rPr>
          <w:rFonts w:ascii="Times New Roman" w:hAnsi="Times New Roman" w:eastAsia="仿宋_GB2312" w:cs="Times New Roman"/>
          <w:color w:val="auto"/>
          <w:sz w:val="32"/>
          <w:szCs w:val="32"/>
          <w:lang w:eastAsia="zh-CN" w:bidi="ar-SA"/>
        </w:rPr>
        <w:t>了以局长为组长，</w:t>
      </w:r>
      <w:r>
        <w:rPr>
          <w:rFonts w:hint="eastAsia" w:ascii="Times New Roman" w:hAnsi="Times New Roman" w:eastAsia="仿宋_GB2312" w:cs="Times New Roman"/>
          <w:color w:val="auto"/>
          <w:sz w:val="32"/>
          <w:szCs w:val="32"/>
          <w:lang w:eastAsia="zh-CN" w:bidi="ar-SA"/>
        </w:rPr>
        <w:t>分管局领导</w:t>
      </w:r>
      <w:r>
        <w:rPr>
          <w:rFonts w:ascii="Times New Roman" w:hAnsi="Times New Roman" w:eastAsia="仿宋_GB2312" w:cs="Times New Roman"/>
          <w:color w:val="auto"/>
          <w:sz w:val="32"/>
          <w:szCs w:val="32"/>
          <w:lang w:eastAsia="zh-CN" w:bidi="ar-SA"/>
        </w:rPr>
        <w:t>为副组长的政务公开领导小组</w:t>
      </w:r>
      <w:r>
        <w:rPr>
          <w:rFonts w:hint="eastAsia" w:ascii="Times New Roman" w:hAnsi="Times New Roman" w:eastAsia="仿宋_GB2312" w:cs="Times New Roman"/>
          <w:color w:val="auto"/>
          <w:sz w:val="32"/>
          <w:szCs w:val="32"/>
          <w:lang w:eastAsia="zh-CN" w:bidi="ar-SA"/>
        </w:rPr>
        <w:t>，</w:t>
      </w:r>
      <w:r>
        <w:rPr>
          <w:rFonts w:ascii="Times New Roman" w:hAnsi="Times New Roman" w:eastAsia="仿宋_GB2312" w:cs="Times New Roman"/>
          <w:color w:val="auto"/>
          <w:sz w:val="32"/>
          <w:szCs w:val="32"/>
          <w:lang w:eastAsia="zh-CN" w:bidi="ar-SA"/>
        </w:rPr>
        <w:t>明确各科室任务分工，结合本单位工作实际，认真梳理政府信息，及时更新政府信息目录。</w:t>
      </w:r>
    </w:p>
    <w:p>
      <w:pPr>
        <w:pStyle w:val="9"/>
        <w:spacing w:line="560" w:lineRule="exact"/>
        <w:ind w:firstLine="580"/>
        <w:rPr>
          <w:rFonts w:ascii="Times New Roman" w:hAnsi="Times New Roman" w:eastAsia="黑体" w:cs="Times New Roman"/>
          <w:b/>
          <w:bCs w:val="0"/>
          <w:color w:val="auto"/>
          <w:sz w:val="32"/>
          <w:szCs w:val="32"/>
        </w:rPr>
      </w:pPr>
      <w:r>
        <w:rPr>
          <w:rFonts w:ascii="Times New Roman" w:hAnsi="Times New Roman" w:eastAsia="黑体" w:cs="Times New Roman"/>
          <w:b/>
          <w:bCs w:val="0"/>
          <w:color w:val="auto"/>
          <w:sz w:val="32"/>
          <w:szCs w:val="32"/>
          <w:lang w:val="en-US" w:eastAsia="zh-CN"/>
        </w:rPr>
        <w:t>二、</w:t>
      </w:r>
      <w:r>
        <w:rPr>
          <w:rFonts w:ascii="Times New Roman" w:hAnsi="Times New Roman"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eastAsia="黑体"/>
                <w:color w:val="auto"/>
                <w:szCs w:val="21"/>
              </w:rPr>
            </w:pPr>
            <w:r>
              <w:rPr>
                <w:rFonts w:eastAsia="黑体"/>
                <w:color w:val="auto"/>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auto"/>
                <w:szCs w:val="21"/>
              </w:rPr>
            </w:pPr>
            <w:r>
              <w:rPr>
                <w:rFonts w:eastAsia="仿宋_GB2312"/>
                <w:color w:val="auto"/>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rPr>
            </w:pPr>
            <w:r>
              <w:rPr>
                <w:rFonts w:eastAsia="仿宋_GB2312"/>
                <w:color w:val="auto"/>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rPr>
            </w:pPr>
            <w:r>
              <w:rPr>
                <w:rFonts w:eastAsia="仿宋_GB2312"/>
                <w:color w:val="auto"/>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rPr>
            </w:pPr>
            <w:r>
              <w:rPr>
                <w:rFonts w:eastAsia="仿宋_GB2312"/>
                <w:color w:val="auto"/>
                <w:szCs w:val="21"/>
              </w:rPr>
              <w:t>现行有效件数</w:t>
            </w:r>
          </w:p>
        </w:tc>
      </w:tr>
      <w:tr>
        <w:tblPrEx>
          <w:tblLayout w:type="fixed"/>
          <w:tblCellMar>
            <w:top w:w="0" w:type="dxa"/>
            <w:left w:w="108" w:type="dxa"/>
            <w:bottom w:w="0" w:type="dxa"/>
            <w:right w:w="108" w:type="dxa"/>
          </w:tblCellMar>
        </w:tblPrEx>
        <w:trPr>
          <w:trHeight w:val="581"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auto"/>
                <w:szCs w:val="21"/>
              </w:rPr>
            </w:pPr>
            <w:r>
              <w:rPr>
                <w:rFonts w:eastAsia="仿宋_GB2312"/>
                <w:color w:val="auto"/>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r>
      <w:tr>
        <w:tblPrEx>
          <w:tblLayout w:type="fixed"/>
          <w:tblCellMar>
            <w:top w:w="0" w:type="dxa"/>
            <w:left w:w="108" w:type="dxa"/>
            <w:bottom w:w="0" w:type="dxa"/>
            <w:right w:w="108" w:type="dxa"/>
          </w:tblCellMar>
        </w:tblPrEx>
        <w:trPr>
          <w:trHeight w:val="546"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auto"/>
                <w:szCs w:val="21"/>
              </w:rPr>
            </w:pPr>
            <w:r>
              <w:rPr>
                <w:rFonts w:eastAsia="仿宋_GB2312"/>
                <w:color w:val="auto"/>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eastAsia="黑体"/>
                <w:color w:val="auto"/>
                <w:szCs w:val="21"/>
              </w:rPr>
            </w:pPr>
            <w:r>
              <w:rPr>
                <w:rFonts w:eastAsia="黑体"/>
                <w:color w:val="auto"/>
                <w:szCs w:val="21"/>
              </w:rPr>
              <w:t>第二十条第（五）项</w:t>
            </w:r>
          </w:p>
        </w:tc>
      </w:tr>
      <w:tr>
        <w:tblPrEx>
          <w:tblLayout w:type="fixed"/>
          <w:tblCellMar>
            <w:top w:w="0" w:type="dxa"/>
            <w:left w:w="108" w:type="dxa"/>
            <w:bottom w:w="0" w:type="dxa"/>
            <w:right w:w="108" w:type="dxa"/>
          </w:tblCellMar>
        </w:tblPrEx>
        <w:trPr>
          <w:trHeight w:val="388"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auto"/>
                <w:szCs w:val="21"/>
              </w:rPr>
            </w:pPr>
            <w:r>
              <w:rPr>
                <w:rFonts w:eastAsia="仿宋_GB2312"/>
                <w:color w:val="auto"/>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auto"/>
                <w:szCs w:val="21"/>
              </w:rPr>
            </w:pPr>
            <w:r>
              <w:rPr>
                <w:rFonts w:eastAsia="仿宋_GB2312"/>
                <w:color w:val="auto"/>
                <w:szCs w:val="21"/>
              </w:rPr>
              <w:t>本年处理决定数量</w:t>
            </w:r>
          </w:p>
        </w:tc>
      </w:tr>
      <w:tr>
        <w:tblPrEx>
          <w:tblLayout w:type="fixed"/>
          <w:tblCellMar>
            <w:top w:w="0" w:type="dxa"/>
            <w:left w:w="108" w:type="dxa"/>
            <w:bottom w:w="0" w:type="dxa"/>
            <w:right w:w="108" w:type="dxa"/>
          </w:tblCellMar>
        </w:tblPrEx>
        <w:trPr>
          <w:trHeight w:val="550"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auto"/>
                <w:szCs w:val="21"/>
              </w:rPr>
            </w:pPr>
            <w:r>
              <w:rPr>
                <w:rFonts w:eastAsia="仿宋_GB2312"/>
                <w:color w:val="auto"/>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eastAsia="黑体"/>
                <w:color w:val="auto"/>
                <w:szCs w:val="21"/>
              </w:rPr>
            </w:pPr>
            <w:r>
              <w:rPr>
                <w:rFonts w:eastAsia="黑体"/>
                <w:color w:val="auto"/>
                <w:szCs w:val="21"/>
              </w:rPr>
              <w:t>第二十条第（六）项</w:t>
            </w:r>
          </w:p>
        </w:tc>
      </w:tr>
      <w:tr>
        <w:tblPrEx>
          <w:tblLayout w:type="fixed"/>
          <w:tblCellMar>
            <w:top w:w="0" w:type="dxa"/>
            <w:left w:w="108" w:type="dxa"/>
            <w:bottom w:w="0" w:type="dxa"/>
            <w:right w:w="108" w:type="dxa"/>
          </w:tblCellMar>
        </w:tblPrEx>
        <w:trPr>
          <w:trHeight w:val="381"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auto"/>
                <w:szCs w:val="21"/>
              </w:rPr>
            </w:pPr>
            <w:r>
              <w:rPr>
                <w:rFonts w:eastAsia="仿宋_GB2312"/>
                <w:color w:val="auto"/>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auto"/>
                <w:szCs w:val="21"/>
              </w:rPr>
            </w:pPr>
            <w:r>
              <w:rPr>
                <w:rFonts w:eastAsia="仿宋_GB2312"/>
                <w:color w:val="auto"/>
                <w:szCs w:val="21"/>
              </w:rPr>
              <w:t>本年处理决定数量</w:t>
            </w:r>
          </w:p>
        </w:tc>
      </w:tr>
      <w:tr>
        <w:tblPrEx>
          <w:tblLayout w:type="fixed"/>
          <w:tblCellMar>
            <w:top w:w="0" w:type="dxa"/>
            <w:left w:w="108" w:type="dxa"/>
            <w:bottom w:w="0" w:type="dxa"/>
            <w:right w:w="108" w:type="dxa"/>
          </w:tblCellMar>
        </w:tblPrEx>
        <w:trPr>
          <w:trHeight w:val="543"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auto"/>
                <w:szCs w:val="21"/>
              </w:rPr>
            </w:pPr>
            <w:r>
              <w:rPr>
                <w:rFonts w:eastAsia="仿宋_GB2312"/>
                <w:color w:val="auto"/>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r>
      <w:tr>
        <w:tblPrEx>
          <w:tblLayout w:type="fixed"/>
          <w:tblCellMar>
            <w:top w:w="0" w:type="dxa"/>
            <w:left w:w="108" w:type="dxa"/>
            <w:bottom w:w="0" w:type="dxa"/>
            <w:right w:w="108" w:type="dxa"/>
          </w:tblCellMar>
        </w:tblPrEx>
        <w:trPr>
          <w:trHeight w:val="548"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auto"/>
                <w:szCs w:val="21"/>
              </w:rPr>
            </w:pPr>
            <w:r>
              <w:rPr>
                <w:rFonts w:eastAsia="仿宋_GB2312"/>
                <w:color w:val="auto"/>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eastAsia="黑体"/>
                <w:color w:val="auto"/>
                <w:szCs w:val="21"/>
              </w:rPr>
            </w:pPr>
            <w:r>
              <w:rPr>
                <w:rFonts w:eastAsia="黑体"/>
                <w:color w:val="auto"/>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auto"/>
                <w:szCs w:val="21"/>
              </w:rPr>
            </w:pPr>
            <w:r>
              <w:rPr>
                <w:rFonts w:eastAsia="仿宋_GB2312"/>
                <w:color w:val="auto"/>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本年收费金额（单位：万元）</w:t>
            </w:r>
          </w:p>
        </w:tc>
      </w:tr>
      <w:tr>
        <w:tblPrEx>
          <w:tblLayout w:type="fixed"/>
          <w:tblCellMar>
            <w:top w:w="0" w:type="dxa"/>
            <w:left w:w="108" w:type="dxa"/>
            <w:bottom w:w="0" w:type="dxa"/>
            <w:right w:w="108" w:type="dxa"/>
          </w:tblCellMar>
        </w:tblPrEx>
        <w:trPr>
          <w:trHeight w:val="511"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auto"/>
                <w:szCs w:val="21"/>
              </w:rPr>
            </w:pPr>
            <w:r>
              <w:rPr>
                <w:rFonts w:eastAsia="仿宋_GB2312"/>
                <w:color w:val="auto"/>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auto"/>
                <w:szCs w:val="21"/>
                <w:lang w:eastAsia="zh-CN"/>
              </w:rPr>
            </w:pPr>
            <w:r>
              <w:rPr>
                <w:rFonts w:eastAsia="仿宋_GB2312"/>
                <w:color w:val="auto"/>
                <w:szCs w:val="21"/>
                <w:lang w:eastAsia="zh-CN"/>
              </w:rPr>
              <w:t>0</w:t>
            </w:r>
          </w:p>
        </w:tc>
      </w:tr>
    </w:tbl>
    <w:p>
      <w:pPr>
        <w:pStyle w:val="9"/>
        <w:spacing w:line="560" w:lineRule="exact"/>
        <w:ind w:firstLine="600"/>
        <w:rPr>
          <w:rFonts w:ascii="Times New Roman" w:hAnsi="Times New Roman" w:eastAsia="PMingLiU" w:cs="Times New Roman"/>
          <w:bCs/>
          <w:color w:val="auto"/>
          <w:sz w:val="32"/>
          <w:szCs w:val="32"/>
        </w:rPr>
      </w:pPr>
      <w:r>
        <w:rPr>
          <w:rFonts w:ascii="Times New Roman" w:hAnsi="Times New Roman" w:eastAsia="黑体" w:cs="Times New Roman"/>
          <w:b/>
          <w:bCs w:val="0"/>
          <w:color w:val="auto"/>
          <w:sz w:val="32"/>
          <w:szCs w:val="32"/>
          <w:lang w:val="en-US" w:eastAsia="zh-CN"/>
        </w:rPr>
        <w:t>三、</w:t>
      </w:r>
      <w:r>
        <w:rPr>
          <w:rFonts w:ascii="Times New Roman" w:hAnsi="Times New Roman" w:eastAsia="黑体" w:cs="Times New Roman"/>
          <w:b/>
          <w:bCs w:val="0"/>
          <w:color w:val="auto"/>
          <w:sz w:val="32"/>
          <w:szCs w:val="32"/>
        </w:rPr>
        <w:t>收到和处理政府信息公开申请情况</w:t>
      </w:r>
    </w:p>
    <w:tbl>
      <w:tblPr>
        <w:tblStyle w:val="4"/>
        <w:tblW w:w="876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7"/>
        <w:gridCol w:w="993"/>
        <w:gridCol w:w="2976"/>
        <w:gridCol w:w="567"/>
        <w:gridCol w:w="582"/>
        <w:gridCol w:w="567"/>
        <w:gridCol w:w="731"/>
        <w:gridCol w:w="708"/>
        <w:gridCol w:w="567"/>
        <w:gridCol w:w="5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jc w:val="center"/>
        </w:trPr>
        <w:tc>
          <w:tcPr>
            <w:tcW w:w="4536" w:type="dxa"/>
            <w:gridSpan w:val="3"/>
            <w:vMerge w:val="restart"/>
            <w:shd w:val="clear" w:color="auto" w:fill="auto"/>
            <w:tcMar>
              <w:left w:w="108" w:type="dxa"/>
              <w:right w:w="108" w:type="dxa"/>
            </w:tcMar>
            <w:vAlign w:val="center"/>
          </w:tcPr>
          <w:p>
            <w:pPr>
              <w:widowControl/>
              <w:jc w:val="center"/>
              <w:rPr>
                <w:rFonts w:eastAsia="仿宋_GB2312"/>
                <w:color w:val="auto"/>
                <w:kern w:val="2"/>
                <w:sz w:val="21"/>
                <w:szCs w:val="21"/>
                <w:lang w:eastAsia="zh-CN" w:bidi="ar-SA"/>
              </w:rPr>
            </w:pPr>
            <w:r>
              <w:rPr>
                <w:rFonts w:eastAsia="楷体_GB2312"/>
                <w:color w:val="auto"/>
                <w:sz w:val="21"/>
                <w:szCs w:val="21"/>
                <w:lang w:eastAsia="zh-CN" w:bidi="ar-SA"/>
              </w:rPr>
              <w:t>（本列数据的勾稽关系为：第一项加第二项之和，等于第三项加第四项之和）</w:t>
            </w:r>
          </w:p>
        </w:tc>
        <w:tc>
          <w:tcPr>
            <w:tcW w:w="4230" w:type="dxa"/>
            <w:gridSpan w:val="7"/>
            <w:shd w:val="clear" w:color="auto" w:fill="auto"/>
            <w:tcMar>
              <w:left w:w="108" w:type="dxa"/>
              <w:right w:w="108" w:type="dxa"/>
            </w:tcMar>
            <w:vAlign w:val="center"/>
          </w:tcPr>
          <w:p>
            <w:pPr>
              <w:widowControl/>
              <w:spacing w:line="320" w:lineRule="exact"/>
              <w:jc w:val="center"/>
              <w:rPr>
                <w:rFonts w:eastAsia="黑体"/>
                <w:color w:val="auto"/>
                <w:kern w:val="2"/>
                <w:sz w:val="21"/>
                <w:szCs w:val="21"/>
                <w:lang w:eastAsia="zh-CN" w:bidi="ar-SA"/>
              </w:rPr>
            </w:pPr>
            <w:r>
              <w:rPr>
                <w:rFonts w:eastAsia="黑体"/>
                <w:color w:val="auto"/>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jc w:val="center"/>
        </w:trPr>
        <w:tc>
          <w:tcPr>
            <w:tcW w:w="4536" w:type="dxa"/>
            <w:gridSpan w:val="3"/>
            <w:vMerge w:val="continue"/>
            <w:shd w:val="clear" w:color="auto" w:fill="auto"/>
            <w:tcMar>
              <w:left w:w="108" w:type="dxa"/>
              <w:right w:w="108" w:type="dxa"/>
            </w:tcMar>
            <w:vAlign w:val="center"/>
          </w:tcPr>
          <w:p>
            <w:pPr>
              <w:jc w:val="center"/>
              <w:rPr>
                <w:rFonts w:eastAsia="仿宋_GB2312"/>
                <w:color w:val="auto"/>
                <w:kern w:val="2"/>
                <w:sz w:val="21"/>
                <w:szCs w:val="21"/>
                <w:lang w:eastAsia="zh-CN" w:bidi="ar-SA"/>
              </w:rPr>
            </w:pPr>
          </w:p>
        </w:tc>
        <w:tc>
          <w:tcPr>
            <w:tcW w:w="567" w:type="dxa"/>
            <w:vMerge w:val="restart"/>
            <w:shd w:val="clear" w:color="auto" w:fill="auto"/>
            <w:tcMar>
              <w:left w:w="108" w:type="dxa"/>
              <w:right w:w="108" w:type="dxa"/>
            </w:tcMar>
            <w:vAlign w:val="center"/>
          </w:tcPr>
          <w:p>
            <w:pPr>
              <w:widowControl/>
              <w:jc w:val="center"/>
              <w:rPr>
                <w:rFonts w:eastAsia="黑体"/>
                <w:color w:val="auto"/>
                <w:kern w:val="2"/>
                <w:sz w:val="21"/>
                <w:szCs w:val="21"/>
                <w:lang w:eastAsia="zh-CN" w:bidi="ar-SA"/>
              </w:rPr>
            </w:pPr>
            <w:r>
              <w:rPr>
                <w:rFonts w:eastAsia="黑体"/>
                <w:color w:val="auto"/>
                <w:sz w:val="21"/>
                <w:szCs w:val="21"/>
                <w:lang w:eastAsia="zh-CN" w:bidi="ar-SA"/>
              </w:rPr>
              <w:t>自然人</w:t>
            </w:r>
          </w:p>
        </w:tc>
        <w:tc>
          <w:tcPr>
            <w:tcW w:w="3155" w:type="dxa"/>
            <w:gridSpan w:val="5"/>
            <w:shd w:val="clear" w:color="auto" w:fill="auto"/>
            <w:tcMar>
              <w:left w:w="108" w:type="dxa"/>
              <w:right w:w="108" w:type="dxa"/>
            </w:tcMar>
            <w:vAlign w:val="center"/>
          </w:tcPr>
          <w:p>
            <w:pPr>
              <w:widowControl/>
              <w:spacing w:line="320" w:lineRule="exact"/>
              <w:jc w:val="center"/>
              <w:rPr>
                <w:rFonts w:eastAsia="黑体"/>
                <w:color w:val="auto"/>
                <w:kern w:val="2"/>
                <w:sz w:val="21"/>
                <w:szCs w:val="21"/>
                <w:lang w:eastAsia="zh-CN" w:bidi="ar-SA"/>
              </w:rPr>
            </w:pPr>
            <w:r>
              <w:rPr>
                <w:rFonts w:eastAsia="黑体"/>
                <w:color w:val="auto"/>
                <w:sz w:val="21"/>
                <w:szCs w:val="21"/>
                <w:lang w:eastAsia="zh-CN" w:bidi="ar-SA"/>
              </w:rPr>
              <w:t>法人或其他组织</w:t>
            </w:r>
          </w:p>
        </w:tc>
        <w:tc>
          <w:tcPr>
            <w:tcW w:w="508" w:type="dxa"/>
            <w:vMerge w:val="restart"/>
            <w:shd w:val="clear" w:color="auto" w:fill="auto"/>
            <w:tcMar>
              <w:left w:w="108" w:type="dxa"/>
              <w:right w:w="108" w:type="dxa"/>
            </w:tcMar>
            <w:vAlign w:val="center"/>
          </w:tcPr>
          <w:p>
            <w:pPr>
              <w:widowControl/>
              <w:jc w:val="center"/>
              <w:rPr>
                <w:rFonts w:eastAsia="黑体"/>
                <w:color w:val="auto"/>
                <w:kern w:val="2"/>
                <w:sz w:val="21"/>
                <w:szCs w:val="21"/>
                <w:lang w:eastAsia="zh-CN" w:bidi="ar-SA"/>
              </w:rPr>
            </w:pPr>
            <w:r>
              <w:rPr>
                <w:rFonts w:eastAsia="黑体"/>
                <w:color w:val="auto"/>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4536" w:type="dxa"/>
            <w:gridSpan w:val="3"/>
            <w:vMerge w:val="continue"/>
            <w:shd w:val="clear" w:color="auto" w:fill="auto"/>
            <w:tcMar>
              <w:left w:w="108" w:type="dxa"/>
              <w:right w:w="108" w:type="dxa"/>
            </w:tcMar>
            <w:vAlign w:val="center"/>
          </w:tcPr>
          <w:p>
            <w:pPr>
              <w:jc w:val="center"/>
              <w:rPr>
                <w:rFonts w:eastAsia="仿宋_GB2312"/>
                <w:color w:val="auto"/>
                <w:kern w:val="2"/>
                <w:sz w:val="21"/>
                <w:szCs w:val="21"/>
                <w:lang w:eastAsia="zh-CN" w:bidi="ar-SA"/>
              </w:rPr>
            </w:pPr>
          </w:p>
        </w:tc>
        <w:tc>
          <w:tcPr>
            <w:tcW w:w="567" w:type="dxa"/>
            <w:vMerge w:val="continue"/>
            <w:shd w:val="clear" w:color="auto" w:fill="auto"/>
            <w:tcMar>
              <w:left w:w="108" w:type="dxa"/>
              <w:right w:w="108" w:type="dxa"/>
            </w:tcMar>
            <w:vAlign w:val="center"/>
          </w:tcPr>
          <w:p>
            <w:pPr>
              <w:jc w:val="center"/>
              <w:rPr>
                <w:rFonts w:eastAsia="黑体"/>
                <w:color w:val="auto"/>
                <w:kern w:val="2"/>
                <w:sz w:val="21"/>
                <w:szCs w:val="21"/>
                <w:lang w:eastAsia="zh-CN" w:bidi="ar-SA"/>
              </w:rPr>
            </w:pPr>
          </w:p>
        </w:tc>
        <w:tc>
          <w:tcPr>
            <w:tcW w:w="582" w:type="dxa"/>
            <w:shd w:val="clear" w:color="auto" w:fill="auto"/>
            <w:tcMar>
              <w:left w:w="108" w:type="dxa"/>
              <w:right w:w="108" w:type="dxa"/>
            </w:tcMar>
            <w:vAlign w:val="center"/>
          </w:tcPr>
          <w:p>
            <w:pPr>
              <w:widowControl/>
              <w:spacing w:line="320" w:lineRule="exact"/>
              <w:ind w:left="-121" w:leftChars="-51" w:right="-122" w:rightChars="-51" w:hanging="1"/>
              <w:jc w:val="center"/>
              <w:rPr>
                <w:rFonts w:eastAsia="黑体"/>
                <w:color w:val="auto"/>
                <w:kern w:val="2"/>
                <w:sz w:val="21"/>
                <w:szCs w:val="21"/>
                <w:lang w:eastAsia="zh-CN" w:bidi="ar-SA"/>
              </w:rPr>
            </w:pPr>
            <w:r>
              <w:rPr>
                <w:rFonts w:eastAsia="黑体"/>
                <w:color w:val="auto"/>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eastAsia="黑体"/>
                <w:color w:val="auto"/>
                <w:kern w:val="2"/>
                <w:sz w:val="21"/>
                <w:szCs w:val="21"/>
                <w:lang w:eastAsia="zh-CN" w:bidi="ar-SA"/>
              </w:rPr>
            </w:pPr>
            <w:r>
              <w:rPr>
                <w:rFonts w:eastAsia="黑体"/>
                <w:color w:val="auto"/>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eastAsia="黑体"/>
                <w:color w:val="auto"/>
                <w:kern w:val="2"/>
                <w:sz w:val="21"/>
                <w:szCs w:val="21"/>
                <w:lang w:eastAsia="zh-CN" w:bidi="ar-SA"/>
              </w:rPr>
            </w:pPr>
            <w:r>
              <w:rPr>
                <w:rFonts w:eastAsia="黑体"/>
                <w:color w:val="auto"/>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eastAsia="黑体"/>
                <w:color w:val="auto"/>
                <w:kern w:val="2"/>
                <w:sz w:val="21"/>
                <w:szCs w:val="21"/>
                <w:lang w:eastAsia="zh-CN" w:bidi="ar-SA"/>
              </w:rPr>
            </w:pPr>
            <w:r>
              <w:rPr>
                <w:rFonts w:eastAsia="黑体"/>
                <w:color w:val="auto"/>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eastAsia="黑体"/>
                <w:color w:val="auto"/>
                <w:kern w:val="2"/>
                <w:sz w:val="21"/>
                <w:szCs w:val="21"/>
                <w:lang w:eastAsia="zh-CN" w:bidi="ar-SA"/>
              </w:rPr>
            </w:pPr>
            <w:r>
              <w:rPr>
                <w:rFonts w:eastAsia="黑体"/>
                <w:color w:val="auto"/>
                <w:sz w:val="21"/>
                <w:szCs w:val="21"/>
                <w:lang w:eastAsia="zh-CN" w:bidi="ar-SA"/>
              </w:rPr>
              <w:t>其他</w:t>
            </w:r>
          </w:p>
        </w:tc>
        <w:tc>
          <w:tcPr>
            <w:tcW w:w="508" w:type="dxa"/>
            <w:vMerge w:val="continue"/>
            <w:shd w:val="clear" w:color="auto" w:fill="auto"/>
            <w:tcMar>
              <w:left w:w="108" w:type="dxa"/>
              <w:right w:w="108" w:type="dxa"/>
            </w:tcMar>
            <w:vAlign w:val="center"/>
          </w:tcPr>
          <w:p>
            <w:pPr>
              <w:jc w:val="center"/>
              <w:rPr>
                <w:rFonts w:eastAsia="仿宋_GB2312"/>
                <w:color w:val="auto"/>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4536" w:type="dxa"/>
            <w:gridSpan w:val="3"/>
            <w:shd w:val="clear" w:color="auto" w:fill="auto"/>
            <w:tcMar>
              <w:left w:w="108" w:type="dxa"/>
              <w:right w:w="108" w:type="dxa"/>
            </w:tcMar>
            <w:vAlign w:val="center"/>
          </w:tcPr>
          <w:p>
            <w:pPr>
              <w:widowControl/>
              <w:jc w:val="both"/>
              <w:rPr>
                <w:rFonts w:eastAsia="黑体"/>
                <w:color w:val="auto"/>
                <w:kern w:val="2"/>
                <w:sz w:val="21"/>
                <w:szCs w:val="21"/>
                <w:lang w:eastAsia="zh-CN" w:bidi="ar-SA"/>
              </w:rPr>
            </w:pPr>
            <w:r>
              <w:rPr>
                <w:rFonts w:eastAsia="黑体"/>
                <w:color w:val="auto"/>
                <w:sz w:val="21"/>
                <w:szCs w:val="21"/>
                <w:lang w:eastAsia="zh-CN" w:bidi="ar-SA"/>
              </w:rPr>
              <w:t>一、</w:t>
            </w:r>
            <w:bookmarkStart w:id="3" w:name="_Hlk66973412"/>
            <w:r>
              <w:rPr>
                <w:rFonts w:eastAsia="黑体"/>
                <w:color w:val="auto"/>
                <w:sz w:val="21"/>
                <w:szCs w:val="21"/>
                <w:lang w:eastAsia="zh-CN" w:bidi="ar-SA"/>
              </w:rPr>
              <w:t>本年新收政府信息公开申请数量</w:t>
            </w:r>
            <w:bookmarkEnd w:id="3"/>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hint="eastAsia" w:eastAsia="仿宋_GB2312"/>
                <w:color w:val="auto"/>
                <w:szCs w:val="21"/>
                <w:lang w:val="en-US" w:eastAsia="zh-CN"/>
              </w:rPr>
              <w:t>2</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hint="eastAsia"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4536" w:type="dxa"/>
            <w:gridSpan w:val="3"/>
            <w:shd w:val="clear" w:color="auto" w:fill="auto"/>
            <w:tcMar>
              <w:left w:w="108" w:type="dxa"/>
              <w:right w:w="108" w:type="dxa"/>
            </w:tcMar>
            <w:vAlign w:val="center"/>
          </w:tcPr>
          <w:p>
            <w:pPr>
              <w:widowControl/>
              <w:jc w:val="both"/>
              <w:rPr>
                <w:rFonts w:eastAsia="黑体"/>
                <w:color w:val="auto"/>
                <w:kern w:val="2"/>
                <w:sz w:val="21"/>
                <w:szCs w:val="21"/>
                <w:lang w:eastAsia="zh-CN" w:bidi="ar-SA"/>
              </w:rPr>
            </w:pPr>
            <w:r>
              <w:rPr>
                <w:rFonts w:eastAsia="黑体"/>
                <w:color w:val="auto"/>
                <w:sz w:val="21"/>
                <w:szCs w:val="21"/>
                <w:lang w:eastAsia="zh-CN" w:bidi="ar-SA"/>
              </w:rPr>
              <w:t>二、上年结转政府信息公开申请数量</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hint="eastAsia" w:eastAsia="仿宋_GB2312"/>
                <w:color w:val="auto"/>
                <w:szCs w:val="21"/>
                <w:lang w:val="en-US"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hint="eastAsia"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7" w:type="dxa"/>
            <w:vMerge w:val="restart"/>
            <w:shd w:val="clear" w:color="auto" w:fill="auto"/>
            <w:tcMar>
              <w:left w:w="108" w:type="dxa"/>
              <w:right w:w="108" w:type="dxa"/>
            </w:tcMar>
            <w:vAlign w:val="center"/>
          </w:tcPr>
          <w:p>
            <w:pPr>
              <w:widowControl/>
              <w:spacing w:after="180"/>
              <w:jc w:val="both"/>
              <w:rPr>
                <w:rFonts w:eastAsia="黑体"/>
                <w:color w:val="auto"/>
                <w:kern w:val="2"/>
                <w:sz w:val="21"/>
                <w:szCs w:val="21"/>
                <w:lang w:eastAsia="zh-CN" w:bidi="ar-SA"/>
              </w:rPr>
            </w:pPr>
            <w:r>
              <w:rPr>
                <w:rFonts w:eastAsia="黑体"/>
                <w:color w:val="auto"/>
                <w:sz w:val="21"/>
                <w:szCs w:val="21"/>
                <w:lang w:eastAsia="zh-CN" w:bidi="ar-SA"/>
              </w:rPr>
              <w:t>三、本年度办理结果</w:t>
            </w:r>
          </w:p>
        </w:tc>
        <w:tc>
          <w:tcPr>
            <w:tcW w:w="3969" w:type="dxa"/>
            <w:gridSpan w:val="2"/>
            <w:shd w:val="clear" w:color="auto" w:fill="auto"/>
            <w:tcMar>
              <w:left w:w="108" w:type="dxa"/>
              <w:right w:w="108" w:type="dxa"/>
            </w:tcMar>
            <w:vAlign w:val="center"/>
          </w:tcPr>
          <w:p>
            <w:pPr>
              <w:widowControl/>
              <w:jc w:val="both"/>
              <w:rPr>
                <w:rFonts w:eastAsia="黑体"/>
                <w:color w:val="auto"/>
                <w:kern w:val="2"/>
                <w:sz w:val="21"/>
                <w:szCs w:val="21"/>
                <w:lang w:eastAsia="zh-CN" w:bidi="ar-SA"/>
              </w:rPr>
            </w:pPr>
            <w:r>
              <w:rPr>
                <w:rFonts w:eastAsia="黑体"/>
                <w:color w:val="auto"/>
                <w:sz w:val="21"/>
                <w:szCs w:val="21"/>
                <w:lang w:eastAsia="zh-CN" w:bidi="ar-SA"/>
              </w:rPr>
              <w:t>（一）予以公开</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hint="eastAsia" w:eastAsia="仿宋_GB2312"/>
                <w:color w:val="auto"/>
                <w:szCs w:val="21"/>
                <w:lang w:val="en-US" w:eastAsia="zh-CN"/>
              </w:rPr>
              <w:t>2</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hint="eastAsia"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3969" w:type="dxa"/>
            <w:gridSpan w:val="2"/>
            <w:shd w:val="clear" w:color="auto" w:fill="auto"/>
            <w:tcMar>
              <w:left w:w="108" w:type="dxa"/>
              <w:right w:w="108" w:type="dxa"/>
            </w:tcMar>
            <w:vAlign w:val="center"/>
          </w:tcPr>
          <w:p>
            <w:pPr>
              <w:widowControl/>
              <w:jc w:val="both"/>
              <w:rPr>
                <w:rFonts w:eastAsia="黑体"/>
                <w:color w:val="auto"/>
                <w:kern w:val="2"/>
                <w:sz w:val="21"/>
                <w:szCs w:val="21"/>
                <w:lang w:eastAsia="zh-CN" w:bidi="ar-SA"/>
              </w:rPr>
            </w:pPr>
            <w:r>
              <w:rPr>
                <w:rFonts w:eastAsia="黑体"/>
                <w:color w:val="auto"/>
                <w:sz w:val="21"/>
                <w:szCs w:val="21"/>
                <w:lang w:eastAsia="zh-CN" w:bidi="ar-SA"/>
              </w:rPr>
              <w:t>（二）部分公开（</w:t>
            </w:r>
            <w:bookmarkStart w:id="4" w:name="_Hlk66973981"/>
            <w:r>
              <w:rPr>
                <w:rFonts w:eastAsia="黑体"/>
                <w:color w:val="auto"/>
                <w:sz w:val="21"/>
                <w:szCs w:val="21"/>
                <w:lang w:eastAsia="zh-CN" w:bidi="ar-SA"/>
              </w:rPr>
              <w:t>区分处理的，只计这一情形，不计其他情形</w:t>
            </w:r>
            <w:bookmarkEnd w:id="4"/>
            <w:r>
              <w:rPr>
                <w:rFonts w:eastAsia="黑体"/>
                <w:color w:val="auto"/>
                <w:sz w:val="21"/>
                <w:szCs w:val="21"/>
                <w:lang w:eastAsia="zh-CN" w:bidi="ar-SA"/>
              </w:rPr>
              <w:t>）</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restart"/>
            <w:shd w:val="clear" w:color="auto" w:fill="auto"/>
            <w:tcMar>
              <w:left w:w="108" w:type="dxa"/>
              <w:right w:w="108" w:type="dxa"/>
            </w:tcMar>
            <w:vAlign w:val="center"/>
          </w:tcPr>
          <w:p>
            <w:pPr>
              <w:widowControl/>
              <w:spacing w:line="200" w:lineRule="exact"/>
              <w:ind w:left="-122" w:leftChars="-51"/>
              <w:jc w:val="both"/>
              <w:rPr>
                <w:rFonts w:eastAsia="黑体"/>
                <w:color w:val="auto"/>
                <w:kern w:val="2"/>
                <w:sz w:val="21"/>
                <w:szCs w:val="21"/>
                <w:lang w:eastAsia="zh-CN" w:bidi="ar-SA"/>
              </w:rPr>
            </w:pPr>
            <w:r>
              <w:rPr>
                <w:rFonts w:eastAsia="黑体"/>
                <w:color w:val="auto"/>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1.属于国家秘密</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2.</w:t>
            </w:r>
            <w:bookmarkStart w:id="5" w:name="_Hlk66974104"/>
            <w:r>
              <w:rPr>
                <w:rFonts w:eastAsia="仿宋_GB2312"/>
                <w:color w:val="auto"/>
                <w:sz w:val="21"/>
                <w:szCs w:val="21"/>
                <w:lang w:eastAsia="zh-CN" w:bidi="ar-SA"/>
              </w:rPr>
              <w:t>其他法律行政法规禁止公开</w:t>
            </w:r>
            <w:bookmarkEnd w:id="5"/>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3.危及“三安全一稳定”</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4.</w:t>
            </w:r>
            <w:bookmarkStart w:id="6" w:name="_Hlk66974290"/>
            <w:r>
              <w:rPr>
                <w:rFonts w:eastAsia="仿宋_GB2312"/>
                <w:color w:val="auto"/>
                <w:sz w:val="21"/>
                <w:szCs w:val="21"/>
                <w:lang w:eastAsia="zh-CN" w:bidi="ar-SA"/>
              </w:rPr>
              <w:t>保护第三方合法权益</w:t>
            </w:r>
            <w:bookmarkEnd w:id="6"/>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5.属于三类内部事务信息</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6.</w:t>
            </w:r>
            <w:bookmarkStart w:id="7" w:name="_Hlk66974555"/>
            <w:r>
              <w:rPr>
                <w:rFonts w:eastAsia="仿宋_GB2312"/>
                <w:color w:val="auto"/>
                <w:sz w:val="21"/>
                <w:szCs w:val="21"/>
                <w:lang w:eastAsia="zh-CN" w:bidi="ar-SA"/>
              </w:rPr>
              <w:t>属于四类过程性信息</w:t>
            </w:r>
            <w:bookmarkEnd w:id="7"/>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7.属于行政执法案卷</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8.</w:t>
            </w:r>
            <w:bookmarkStart w:id="8" w:name="_Hlk66975211"/>
            <w:r>
              <w:rPr>
                <w:rFonts w:eastAsia="仿宋_GB2312"/>
                <w:color w:val="auto"/>
                <w:sz w:val="21"/>
                <w:szCs w:val="21"/>
                <w:lang w:eastAsia="zh-CN" w:bidi="ar-SA"/>
              </w:rPr>
              <w:t>属于行政查询事项</w:t>
            </w:r>
            <w:bookmarkEnd w:id="8"/>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restart"/>
            <w:shd w:val="clear" w:color="auto" w:fill="auto"/>
            <w:tcMar>
              <w:left w:w="108" w:type="dxa"/>
              <w:right w:w="108" w:type="dxa"/>
            </w:tcMar>
            <w:vAlign w:val="center"/>
          </w:tcPr>
          <w:p>
            <w:pPr>
              <w:widowControl/>
              <w:spacing w:line="200" w:lineRule="exact"/>
              <w:ind w:left="-122" w:leftChars="-51"/>
              <w:jc w:val="both"/>
              <w:rPr>
                <w:rFonts w:eastAsia="黑体"/>
                <w:color w:val="auto"/>
                <w:kern w:val="2"/>
                <w:sz w:val="21"/>
                <w:szCs w:val="21"/>
                <w:lang w:eastAsia="zh-CN" w:bidi="ar-SA"/>
              </w:rPr>
            </w:pPr>
            <w:r>
              <w:rPr>
                <w:rFonts w:eastAsia="黑体"/>
                <w:color w:val="auto"/>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1.本机关不掌握相关政府信息</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hint="eastAsia" w:eastAsia="仿宋_GB2312"/>
                <w:color w:val="auto"/>
                <w:szCs w:val="21"/>
                <w:lang w:val="en-US"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hint="eastAsia" w:eastAsia="仿宋_GB2312"/>
                <w:color w:val="auto"/>
                <w:szCs w:val="21"/>
                <w:lang w:val="en-US" w:eastAsia="zh-CN"/>
              </w:rPr>
              <w:t>0</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ind w:left="-122" w:leftChars="-51"/>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2.</w:t>
            </w:r>
            <w:bookmarkStart w:id="9" w:name="_Hlk66975392"/>
            <w:r>
              <w:rPr>
                <w:rFonts w:eastAsia="仿宋_GB2312"/>
                <w:color w:val="auto"/>
                <w:sz w:val="21"/>
                <w:szCs w:val="21"/>
                <w:lang w:eastAsia="zh-CN" w:bidi="ar-SA"/>
              </w:rPr>
              <w:t>没有现成信息需要另行制作</w:t>
            </w:r>
            <w:bookmarkEnd w:id="9"/>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ind w:left="-122" w:leftChars="-51"/>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3.</w:t>
            </w:r>
            <w:bookmarkStart w:id="10" w:name="_Hlk66975466"/>
            <w:r>
              <w:rPr>
                <w:rFonts w:eastAsia="仿宋_GB2312"/>
                <w:color w:val="auto"/>
                <w:sz w:val="21"/>
                <w:szCs w:val="21"/>
                <w:lang w:eastAsia="zh-CN" w:bidi="ar-SA"/>
              </w:rPr>
              <w:t>补正后申请内容仍不明确</w:t>
            </w:r>
            <w:bookmarkEnd w:id="10"/>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restart"/>
            <w:shd w:val="clear" w:color="auto" w:fill="auto"/>
            <w:tcMar>
              <w:left w:w="108" w:type="dxa"/>
              <w:right w:w="108" w:type="dxa"/>
            </w:tcMar>
            <w:vAlign w:val="center"/>
          </w:tcPr>
          <w:p>
            <w:pPr>
              <w:widowControl/>
              <w:spacing w:line="200" w:lineRule="exact"/>
              <w:ind w:left="-122" w:leftChars="-51"/>
              <w:jc w:val="both"/>
              <w:rPr>
                <w:rFonts w:eastAsia="黑体"/>
                <w:color w:val="auto"/>
                <w:kern w:val="2"/>
                <w:sz w:val="21"/>
                <w:szCs w:val="21"/>
                <w:lang w:eastAsia="zh-CN" w:bidi="ar-SA"/>
              </w:rPr>
            </w:pPr>
            <w:r>
              <w:rPr>
                <w:rFonts w:eastAsia="黑体"/>
                <w:color w:val="auto"/>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1.</w:t>
            </w:r>
            <w:bookmarkStart w:id="11" w:name="_Hlk66975537"/>
            <w:r>
              <w:rPr>
                <w:rFonts w:eastAsia="仿宋_GB2312"/>
                <w:color w:val="auto"/>
                <w:sz w:val="21"/>
                <w:szCs w:val="21"/>
                <w:lang w:eastAsia="zh-CN" w:bidi="ar-SA"/>
              </w:rPr>
              <w:t>信访举报投诉类申请</w:t>
            </w:r>
            <w:bookmarkEnd w:id="11"/>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sz w:val="21"/>
                <w:szCs w:val="21"/>
                <w:lang w:eastAsia="zh-CN" w:bidi="ar-SA"/>
              </w:rPr>
            </w:pPr>
            <w:r>
              <w:rPr>
                <w:rFonts w:eastAsia="仿宋_GB2312"/>
                <w:color w:val="auto"/>
                <w:sz w:val="21"/>
                <w:szCs w:val="21"/>
                <w:lang w:eastAsia="zh-CN" w:bidi="ar-SA"/>
              </w:rPr>
              <w:t>2.重复申请</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kern w:val="2"/>
                <w:sz w:val="21"/>
                <w:szCs w:val="21"/>
                <w:lang w:eastAsia="zh-CN" w:bidi="ar-SA"/>
              </w:rPr>
            </w:pPr>
            <w:r>
              <w:rPr>
                <w:rFonts w:eastAsia="仿宋_GB2312"/>
                <w:color w:val="auto"/>
                <w:sz w:val="21"/>
                <w:szCs w:val="21"/>
                <w:lang w:eastAsia="zh-CN" w:bidi="ar-SA"/>
              </w:rPr>
              <w:t>3.要求提供公开出版物</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eastAsia="仿宋_GB2312"/>
                <w:color w:val="auto"/>
                <w:kern w:val="2"/>
                <w:sz w:val="21"/>
                <w:szCs w:val="21"/>
                <w:lang w:eastAsia="zh-CN" w:bidi="ar-SA"/>
              </w:rPr>
            </w:pPr>
            <w:r>
              <w:rPr>
                <w:rFonts w:eastAsia="仿宋_GB2312"/>
                <w:color w:val="auto"/>
                <w:sz w:val="21"/>
                <w:szCs w:val="21"/>
                <w:lang w:eastAsia="zh-CN" w:bidi="ar-SA"/>
              </w:rPr>
              <w:t>4.无正当理由大量反复申请</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spacing w:line="200" w:lineRule="exact"/>
              <w:jc w:val="both"/>
              <w:rPr>
                <w:rFonts w:eastAsia="黑体"/>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eastAsia="仿宋_GB2312"/>
                <w:color w:val="auto"/>
                <w:sz w:val="21"/>
                <w:szCs w:val="21"/>
                <w:lang w:eastAsia="zh-CN" w:bidi="ar-SA"/>
              </w:rPr>
            </w:pPr>
            <w:r>
              <w:rPr>
                <w:rFonts w:eastAsia="仿宋_GB2312"/>
                <w:color w:val="auto"/>
                <w:sz w:val="21"/>
                <w:szCs w:val="21"/>
                <w:lang w:eastAsia="zh-CN" w:bidi="ar-SA"/>
              </w:rPr>
              <w:t>5.要求行政机关确认或重新</w:t>
            </w:r>
          </w:p>
          <w:p>
            <w:pPr>
              <w:widowControl/>
              <w:spacing w:line="300" w:lineRule="exact"/>
              <w:ind w:firstLine="210" w:firstLineChars="100"/>
              <w:jc w:val="both"/>
              <w:rPr>
                <w:rFonts w:eastAsia="仿宋_GB2312"/>
                <w:color w:val="auto"/>
                <w:kern w:val="2"/>
                <w:sz w:val="21"/>
                <w:szCs w:val="21"/>
                <w:lang w:eastAsia="zh-CN" w:bidi="ar-SA"/>
              </w:rPr>
            </w:pPr>
            <w:r>
              <w:rPr>
                <w:rFonts w:eastAsia="仿宋_GB2312"/>
                <w:color w:val="auto"/>
                <w:sz w:val="21"/>
                <w:szCs w:val="21"/>
                <w:lang w:eastAsia="zh-CN" w:bidi="ar-SA"/>
              </w:rPr>
              <w:t>出具已获取信息</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restart"/>
            <w:shd w:val="clear" w:color="auto" w:fill="auto"/>
            <w:tcMar>
              <w:left w:w="108" w:type="dxa"/>
              <w:right w:w="108" w:type="dxa"/>
            </w:tcMar>
            <w:vAlign w:val="center"/>
          </w:tcPr>
          <w:p>
            <w:pPr>
              <w:widowControl/>
              <w:spacing w:line="300" w:lineRule="exact"/>
              <w:jc w:val="both"/>
              <w:rPr>
                <w:rFonts w:eastAsia="黑体"/>
                <w:color w:val="auto"/>
                <w:sz w:val="21"/>
                <w:szCs w:val="21"/>
                <w:lang w:eastAsia="zh-CN" w:bidi="ar-SA"/>
              </w:rPr>
            </w:pPr>
            <w:r>
              <w:rPr>
                <w:rFonts w:eastAsia="黑体"/>
                <w:color w:val="auto"/>
                <w:sz w:val="21"/>
                <w:szCs w:val="21"/>
                <w:lang w:eastAsia="zh-CN" w:bidi="ar-SA"/>
              </w:rPr>
              <w:t>（六）其他处理</w:t>
            </w:r>
          </w:p>
        </w:tc>
        <w:tc>
          <w:tcPr>
            <w:tcW w:w="2976" w:type="dxa"/>
            <w:shd w:val="clear" w:color="auto" w:fill="auto"/>
            <w:vAlign w:val="center"/>
          </w:tcPr>
          <w:p>
            <w:pPr>
              <w:widowControl/>
              <w:spacing w:line="300" w:lineRule="exact"/>
              <w:jc w:val="both"/>
              <w:rPr>
                <w:rFonts w:eastAsia="仿宋_GB2312"/>
                <w:color w:val="auto"/>
                <w:kern w:val="2"/>
                <w:sz w:val="21"/>
                <w:szCs w:val="22"/>
                <w:lang w:eastAsia="zh-CN" w:bidi="ar-SA"/>
              </w:rPr>
            </w:pPr>
            <w:r>
              <w:rPr>
                <w:rFonts w:eastAsia="仿宋_GB2312"/>
                <w:color w:val="auto"/>
                <w:kern w:val="2"/>
                <w:sz w:val="21"/>
                <w:szCs w:val="22"/>
                <w:lang w:eastAsia="zh-CN" w:bidi="ar-SA"/>
              </w:rPr>
              <w:t>1.申请人无正当理由逾期不补正、行政机关不再处理其政府信息公开申请</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widowControl/>
              <w:spacing w:line="300" w:lineRule="exact"/>
              <w:jc w:val="both"/>
              <w:rPr>
                <w:rFonts w:eastAsia="黑体"/>
                <w:color w:val="auto"/>
                <w:sz w:val="21"/>
                <w:szCs w:val="21"/>
                <w:lang w:eastAsia="zh-CN" w:bidi="ar-SA"/>
              </w:rPr>
            </w:pPr>
          </w:p>
        </w:tc>
        <w:tc>
          <w:tcPr>
            <w:tcW w:w="2976" w:type="dxa"/>
            <w:shd w:val="clear" w:color="auto" w:fill="auto"/>
            <w:vAlign w:val="center"/>
          </w:tcPr>
          <w:p>
            <w:pPr>
              <w:widowControl/>
              <w:spacing w:line="300" w:lineRule="exact"/>
              <w:jc w:val="both"/>
              <w:rPr>
                <w:rFonts w:eastAsia="仿宋_GB2312"/>
                <w:color w:val="auto"/>
                <w:sz w:val="21"/>
                <w:szCs w:val="21"/>
                <w:lang w:eastAsia="zh-CN" w:bidi="ar-SA"/>
              </w:rPr>
            </w:pPr>
            <w:r>
              <w:rPr>
                <w:rFonts w:eastAsia="仿宋_GB2312"/>
                <w:color w:val="auto"/>
                <w:kern w:val="2"/>
                <w:sz w:val="21"/>
                <w:szCs w:val="22"/>
                <w:lang w:eastAsia="zh-CN" w:bidi="ar-SA"/>
              </w:rPr>
              <w:t>2.申请人逾期未按收费通知要求缴纳费用、行政机关不再处理其政府信息公开申请</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993" w:type="dxa"/>
            <w:vMerge w:val="continue"/>
            <w:shd w:val="clear" w:color="auto" w:fill="auto"/>
            <w:tcMar>
              <w:left w:w="108" w:type="dxa"/>
              <w:right w:w="108" w:type="dxa"/>
            </w:tcMar>
            <w:vAlign w:val="center"/>
          </w:tcPr>
          <w:p>
            <w:pPr>
              <w:widowControl/>
              <w:spacing w:line="300" w:lineRule="exact"/>
              <w:jc w:val="both"/>
              <w:rPr>
                <w:rFonts w:eastAsia="黑体"/>
                <w:color w:val="auto"/>
                <w:sz w:val="21"/>
                <w:szCs w:val="21"/>
                <w:lang w:eastAsia="zh-CN" w:bidi="ar-SA"/>
              </w:rPr>
            </w:pPr>
          </w:p>
        </w:tc>
        <w:tc>
          <w:tcPr>
            <w:tcW w:w="2976" w:type="dxa"/>
            <w:shd w:val="clear" w:color="auto" w:fill="auto"/>
            <w:vAlign w:val="center"/>
          </w:tcPr>
          <w:p>
            <w:pPr>
              <w:widowControl/>
              <w:spacing w:line="300" w:lineRule="exact"/>
              <w:jc w:val="both"/>
              <w:rPr>
                <w:rFonts w:eastAsia="仿宋_GB2312"/>
                <w:color w:val="auto"/>
                <w:sz w:val="21"/>
                <w:szCs w:val="21"/>
                <w:lang w:eastAsia="zh-CN" w:bidi="ar-SA"/>
              </w:rPr>
            </w:pPr>
            <w:r>
              <w:rPr>
                <w:rFonts w:eastAsia="仿宋_GB2312"/>
                <w:color w:val="auto"/>
                <w:kern w:val="2"/>
                <w:sz w:val="21"/>
                <w:szCs w:val="22"/>
                <w:lang w:eastAsia="zh-CN" w:bidi="ar-SA"/>
              </w:rPr>
              <w:t>3.其他</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7" w:type="dxa"/>
            <w:vMerge w:val="continue"/>
            <w:shd w:val="clear" w:color="auto" w:fill="auto"/>
            <w:tcMar>
              <w:left w:w="108" w:type="dxa"/>
              <w:right w:w="108" w:type="dxa"/>
            </w:tcMar>
            <w:vAlign w:val="center"/>
          </w:tcPr>
          <w:p>
            <w:pPr>
              <w:jc w:val="both"/>
              <w:rPr>
                <w:rFonts w:eastAsia="黑体"/>
                <w:color w:val="auto"/>
                <w:kern w:val="2"/>
                <w:sz w:val="21"/>
                <w:szCs w:val="21"/>
                <w:lang w:eastAsia="zh-CN" w:bidi="ar-SA"/>
              </w:rPr>
            </w:pPr>
          </w:p>
        </w:tc>
        <w:tc>
          <w:tcPr>
            <w:tcW w:w="3969" w:type="dxa"/>
            <w:gridSpan w:val="2"/>
            <w:shd w:val="clear" w:color="auto" w:fill="auto"/>
            <w:tcMar>
              <w:left w:w="108" w:type="dxa"/>
              <w:right w:w="108" w:type="dxa"/>
            </w:tcMar>
            <w:vAlign w:val="center"/>
          </w:tcPr>
          <w:p>
            <w:pPr>
              <w:widowControl/>
              <w:spacing w:line="300" w:lineRule="exact"/>
              <w:jc w:val="both"/>
              <w:rPr>
                <w:rFonts w:eastAsia="黑体"/>
                <w:color w:val="auto"/>
                <w:sz w:val="21"/>
                <w:szCs w:val="21"/>
                <w:lang w:eastAsia="zh-CN" w:bidi="ar-SA"/>
              </w:rPr>
            </w:pPr>
            <w:r>
              <w:rPr>
                <w:rFonts w:eastAsia="黑体"/>
                <w:color w:val="auto"/>
                <w:sz w:val="21"/>
                <w:szCs w:val="21"/>
                <w:lang w:eastAsia="zh-CN" w:bidi="ar-SA"/>
              </w:rPr>
              <w:t>（七）总计</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2</w:t>
            </w:r>
          </w:p>
        </w:tc>
        <w:tc>
          <w:tcPr>
            <w:tcW w:w="582"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4536" w:type="dxa"/>
            <w:gridSpan w:val="3"/>
            <w:shd w:val="clear" w:color="auto" w:fill="auto"/>
            <w:tcMar>
              <w:left w:w="108" w:type="dxa"/>
              <w:right w:w="108" w:type="dxa"/>
            </w:tcMar>
            <w:vAlign w:val="center"/>
          </w:tcPr>
          <w:p>
            <w:pPr>
              <w:widowControl/>
              <w:spacing w:line="300" w:lineRule="exact"/>
              <w:jc w:val="both"/>
              <w:rPr>
                <w:rFonts w:eastAsia="黑体"/>
                <w:color w:val="auto"/>
                <w:sz w:val="21"/>
                <w:szCs w:val="21"/>
                <w:lang w:eastAsia="zh-CN" w:bidi="ar-SA"/>
              </w:rPr>
            </w:pPr>
            <w:r>
              <w:rPr>
                <w:rFonts w:eastAsia="黑体"/>
                <w:color w:val="auto"/>
                <w:sz w:val="21"/>
                <w:szCs w:val="21"/>
                <w:lang w:eastAsia="zh-CN" w:bidi="ar-SA"/>
              </w:rPr>
              <w:t>四、结转下年度继续办理</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2"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731"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7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67"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c>
          <w:tcPr>
            <w:tcW w:w="508" w:type="dxa"/>
            <w:shd w:val="clear" w:color="auto" w:fill="auto"/>
            <w:tcMar>
              <w:left w:w="108" w:type="dxa"/>
              <w:right w:w="108" w:type="dxa"/>
            </w:tcMar>
            <w:vAlign w:val="center"/>
          </w:tcPr>
          <w:p>
            <w:pPr>
              <w:jc w:val="center"/>
              <w:rPr>
                <w:rFonts w:eastAsia="仿宋_GB2312"/>
                <w:color w:val="auto"/>
                <w:szCs w:val="21"/>
                <w:lang w:eastAsia="zh-CN"/>
              </w:rPr>
            </w:pPr>
            <w:r>
              <w:rPr>
                <w:rFonts w:eastAsia="仿宋_GB2312"/>
                <w:color w:val="auto"/>
                <w:szCs w:val="21"/>
                <w:lang w:eastAsia="zh-CN"/>
              </w:rPr>
              <w:t>0</w:t>
            </w:r>
          </w:p>
        </w:tc>
      </w:tr>
    </w:tbl>
    <w:p>
      <w:pPr>
        <w:pStyle w:val="9"/>
        <w:spacing w:line="560" w:lineRule="exact"/>
        <w:ind w:firstLine="0"/>
        <w:rPr>
          <w:rFonts w:ascii="Times New Roman" w:hAnsi="Times New Roman" w:eastAsia="黑体" w:cs="Times New Roman"/>
          <w:bCs/>
          <w:color w:val="auto"/>
          <w:sz w:val="32"/>
          <w:szCs w:val="32"/>
        </w:rPr>
      </w:pPr>
      <w:r>
        <w:rPr>
          <w:rFonts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spacing w:line="440" w:lineRule="exact"/>
              <w:rPr>
                <w:color w:val="auto"/>
              </w:rPr>
            </w:pPr>
          </w:p>
        </w:tc>
        <w:tc>
          <w:tcPr>
            <w:tcW w:w="629" w:type="dxa"/>
            <w:vMerge w:val="continue"/>
            <w:tcBorders>
              <w:left w:val="single" w:color="auto" w:sz="4" w:space="0"/>
            </w:tcBorders>
            <w:shd w:val="clear" w:color="auto" w:fill="FFFFFF"/>
            <w:vAlign w:val="center"/>
          </w:tcPr>
          <w:p>
            <w:pPr>
              <w:spacing w:line="440" w:lineRule="exact"/>
              <w:rPr>
                <w:color w:val="auto"/>
              </w:rPr>
            </w:pPr>
          </w:p>
        </w:tc>
        <w:tc>
          <w:tcPr>
            <w:tcW w:w="624" w:type="dxa"/>
            <w:vMerge w:val="continue"/>
            <w:tcBorders>
              <w:left w:val="single" w:color="auto" w:sz="4" w:space="0"/>
            </w:tcBorders>
            <w:shd w:val="clear" w:color="auto" w:fill="FFFFFF"/>
            <w:vAlign w:val="center"/>
          </w:tcPr>
          <w:p>
            <w:pPr>
              <w:spacing w:line="440" w:lineRule="exact"/>
              <w:rPr>
                <w:color w:val="auto"/>
              </w:rPr>
            </w:pPr>
          </w:p>
        </w:tc>
        <w:tc>
          <w:tcPr>
            <w:tcW w:w="624" w:type="dxa"/>
            <w:vMerge w:val="continue"/>
            <w:tcBorders>
              <w:left w:val="single" w:color="auto" w:sz="4" w:space="0"/>
            </w:tcBorders>
            <w:shd w:val="clear" w:color="auto" w:fill="FFFFFF"/>
            <w:vAlign w:val="center"/>
          </w:tcPr>
          <w:p>
            <w:pPr>
              <w:spacing w:line="440" w:lineRule="exact"/>
              <w:rPr>
                <w:color w:val="auto"/>
              </w:rPr>
            </w:pPr>
          </w:p>
        </w:tc>
        <w:tc>
          <w:tcPr>
            <w:tcW w:w="562" w:type="dxa"/>
            <w:vMerge w:val="continue"/>
            <w:tcBorders>
              <w:left w:val="single" w:color="auto" w:sz="4" w:space="0"/>
            </w:tcBorders>
            <w:shd w:val="clear" w:color="auto" w:fill="FFFFFF"/>
            <w:textDirection w:val="tbRlV"/>
            <w:vAlign w:val="bottom"/>
          </w:tcPr>
          <w:p>
            <w:pPr>
              <w:spacing w:line="440" w:lineRule="exact"/>
              <w:rPr>
                <w:color w:val="auto"/>
              </w:rPr>
            </w:pPr>
          </w:p>
        </w:tc>
        <w:tc>
          <w:tcPr>
            <w:tcW w:w="562"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spacing w:before="0" w:line="440" w:lineRule="exact"/>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hint="eastAsia" w:eastAsia="仿宋_GB2312"/>
                <w:color w:val="auto"/>
                <w:szCs w:val="21"/>
                <w:lang w:val="en-US" w:eastAsia="zh-CN"/>
              </w:rPr>
              <w:t>1</w:t>
            </w:r>
          </w:p>
        </w:tc>
        <w:tc>
          <w:tcPr>
            <w:tcW w:w="629" w:type="dxa"/>
            <w:tcBorders>
              <w:top w:val="single" w:color="auto" w:sz="4" w:space="0"/>
              <w:left w:val="single" w:color="auto" w:sz="4" w:space="0"/>
              <w:bottom w:val="single" w:color="auto" w:sz="4" w:space="0"/>
            </w:tcBorders>
            <w:shd w:val="clear" w:color="auto" w:fill="FFFFFF"/>
            <w:vAlign w:val="center"/>
          </w:tcPr>
          <w:p>
            <w:pPr>
              <w:widowControl/>
              <w:jc w:val="center"/>
              <w:rPr>
                <w:rFonts w:hint="default" w:eastAsia="仿宋_GB2312"/>
                <w:color w:val="auto"/>
                <w:szCs w:val="21"/>
                <w:lang w:val="en-US" w:eastAsia="zh-CN"/>
              </w:rPr>
            </w:pPr>
            <w:r>
              <w:rPr>
                <w:rFonts w:hint="eastAsia" w:eastAsia="仿宋_GB2312"/>
                <w:color w:val="auto"/>
                <w:szCs w:val="21"/>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1</w:t>
            </w:r>
          </w:p>
        </w:tc>
        <w:tc>
          <w:tcPr>
            <w:tcW w:w="562"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auto"/>
                <w:szCs w:val="21"/>
                <w:lang w:eastAsia="zh-CN"/>
              </w:rPr>
            </w:pPr>
            <w:r>
              <w:rPr>
                <w:rFonts w:eastAsia="仿宋_GB2312"/>
                <w:color w:val="auto"/>
                <w:szCs w:val="21"/>
                <w:lang w:eastAsia="zh-CN"/>
              </w:rPr>
              <w:t>0</w:t>
            </w:r>
          </w:p>
        </w:tc>
      </w:tr>
    </w:tbl>
    <w:p>
      <w:pPr>
        <w:widowControl/>
        <w:shd w:val="clear" w:color="auto" w:fill="FFFFFF"/>
        <w:spacing w:line="560" w:lineRule="exact"/>
        <w:ind w:firstLine="643" w:firstLineChars="200"/>
        <w:jc w:val="both"/>
        <w:rPr>
          <w:rFonts w:eastAsia="黑体"/>
          <w:b/>
          <w:bCs/>
          <w:color w:val="auto"/>
          <w:sz w:val="32"/>
          <w:szCs w:val="32"/>
          <w:lang w:eastAsia="zh-CN" w:bidi="ar-SA"/>
        </w:rPr>
      </w:pPr>
      <w:r>
        <w:rPr>
          <w:rFonts w:eastAsia="黑体"/>
          <w:b/>
          <w:bCs/>
          <w:color w:val="auto"/>
          <w:sz w:val="32"/>
          <w:szCs w:val="32"/>
          <w:lang w:eastAsia="zh-CN" w:bidi="ar-SA"/>
        </w:rPr>
        <w:t>五、存在的主要问题及改进情况</w:t>
      </w:r>
    </w:p>
    <w:p>
      <w:pPr>
        <w:widowControl/>
        <w:shd w:val="clear" w:color="auto" w:fill="FFFFFF"/>
        <w:spacing w:line="560" w:lineRule="exact"/>
        <w:ind w:firstLine="643" w:firstLineChars="200"/>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eastAsia="zh-CN" w:bidi="ar-SA"/>
        </w:rPr>
        <w:t>（一）2022年存在问题整改情况</w:t>
      </w:r>
    </w:p>
    <w:p>
      <w:pPr>
        <w:widowControl/>
        <w:shd w:val="clear" w:color="auto" w:fill="FFFFFF"/>
        <w:spacing w:line="560" w:lineRule="exact"/>
        <w:ind w:firstLine="640" w:firstLineChars="200"/>
        <w:rPr>
          <w:rFonts w:eastAsia="仿宋_GB2312"/>
          <w:color w:val="auto"/>
          <w:sz w:val="32"/>
          <w:szCs w:val="32"/>
          <w:lang w:eastAsia="zh-CN"/>
        </w:rPr>
      </w:pPr>
      <w:r>
        <w:rPr>
          <w:rFonts w:eastAsia="仿宋_GB2312"/>
          <w:color w:val="auto"/>
          <w:sz w:val="32"/>
          <w:szCs w:val="32"/>
          <w:lang w:eastAsia="zh-CN"/>
        </w:rPr>
        <w:t>针对2022年存在的政府信息公开的宣传力度还有待加强的问题。明确专人负责，及时更新政府信息公开，积极派出人员参加上级举办的政府信息公开业务培训，进一步提升政府信息公开工作人员综合素质和业务能力。</w:t>
      </w:r>
    </w:p>
    <w:p>
      <w:pPr>
        <w:widowControl/>
        <w:shd w:val="clear" w:color="auto" w:fill="FFFFFF"/>
        <w:spacing w:line="560" w:lineRule="exact"/>
        <w:ind w:firstLine="643" w:firstLineChars="200"/>
        <w:rPr>
          <w:rFonts w:eastAsia="黑体"/>
          <w:color w:val="auto"/>
          <w:sz w:val="32"/>
          <w:szCs w:val="32"/>
          <w:lang w:eastAsia="zh-CN" w:bidi="ar-SA"/>
        </w:rPr>
      </w:pPr>
      <w:r>
        <w:rPr>
          <w:rFonts w:hint="eastAsia" w:ascii="楷体_GB2312" w:hAnsi="楷体_GB2312" w:eastAsia="楷体_GB2312" w:cs="楷体_GB2312"/>
          <w:b/>
          <w:bCs/>
          <w:color w:val="auto"/>
          <w:sz w:val="32"/>
          <w:szCs w:val="32"/>
          <w:lang w:eastAsia="zh-CN" w:bidi="ar-SA"/>
        </w:rPr>
        <w:t>（二）2023年存在问题</w:t>
      </w:r>
    </w:p>
    <w:p>
      <w:pPr>
        <w:widowControl/>
        <w:shd w:val="clear" w:color="auto" w:fill="FFFFFF"/>
        <w:spacing w:line="560" w:lineRule="exact"/>
        <w:ind w:firstLine="640" w:firstLineChars="200"/>
        <w:rPr>
          <w:rFonts w:eastAsia="黑体"/>
          <w:color w:val="auto"/>
          <w:sz w:val="32"/>
          <w:szCs w:val="32"/>
          <w:lang w:eastAsia="zh-CN" w:bidi="ar-SA"/>
        </w:rPr>
      </w:pPr>
      <w:r>
        <w:rPr>
          <w:rFonts w:eastAsia="仿宋_GB2312"/>
          <w:color w:val="auto"/>
          <w:sz w:val="32"/>
          <w:szCs w:val="32"/>
          <w:lang w:eastAsia="zh-CN"/>
        </w:rPr>
        <w:t>政府信息公开</w:t>
      </w:r>
      <w:r>
        <w:rPr>
          <w:rFonts w:hint="eastAsia" w:eastAsia="仿宋_GB2312"/>
          <w:color w:val="auto"/>
          <w:sz w:val="32"/>
          <w:szCs w:val="32"/>
          <w:lang w:eastAsia="zh-CN"/>
        </w:rPr>
        <w:t>内容</w:t>
      </w:r>
      <w:r>
        <w:rPr>
          <w:rFonts w:eastAsia="仿宋_GB2312"/>
          <w:color w:val="auto"/>
          <w:sz w:val="32"/>
          <w:szCs w:val="32"/>
          <w:lang w:eastAsia="zh-CN"/>
        </w:rPr>
        <w:t>质量需要进一步提升</w:t>
      </w:r>
      <w:r>
        <w:rPr>
          <w:rFonts w:hint="eastAsia" w:eastAsia="仿宋_GB2312"/>
          <w:color w:val="auto"/>
          <w:sz w:val="32"/>
          <w:szCs w:val="32"/>
          <w:lang w:eastAsia="zh-CN"/>
        </w:rPr>
        <w:t>。</w:t>
      </w:r>
    </w:p>
    <w:p>
      <w:pPr>
        <w:widowControl/>
        <w:shd w:val="clear" w:color="auto" w:fill="FFFFFF"/>
        <w:spacing w:line="560" w:lineRule="exact"/>
        <w:ind w:firstLine="643" w:firstLineChars="200"/>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eastAsia="zh-CN" w:bidi="ar-SA"/>
        </w:rPr>
        <w:t>（三）改进措施</w:t>
      </w:r>
    </w:p>
    <w:p>
      <w:pPr>
        <w:widowControl/>
        <w:shd w:val="clear" w:color="auto" w:fill="FFFFFF"/>
        <w:spacing w:line="560" w:lineRule="exact"/>
        <w:ind w:firstLine="640" w:firstLineChars="200"/>
        <w:rPr>
          <w:rFonts w:eastAsia="仿宋_GB2312"/>
          <w:color w:val="auto"/>
          <w:sz w:val="32"/>
          <w:szCs w:val="32"/>
          <w:lang w:eastAsia="zh-CN" w:bidi="ar-SA"/>
        </w:rPr>
      </w:pPr>
      <w:r>
        <w:rPr>
          <w:rFonts w:hint="eastAsia" w:eastAsia="仿宋_GB2312"/>
          <w:color w:val="auto"/>
          <w:sz w:val="32"/>
          <w:szCs w:val="32"/>
          <w:lang w:eastAsia="zh-CN" w:bidi="ar-SA"/>
        </w:rPr>
        <w:t>落实信息公开年度计划，标准化收集整理政府信息公开事项。安排专人负责，积极参加业务培训，进一步加强政府信息公开内容质量上的提升。</w:t>
      </w:r>
    </w:p>
    <w:p>
      <w:pPr>
        <w:widowControl/>
        <w:shd w:val="clear" w:color="auto" w:fill="FFFFFF"/>
        <w:spacing w:line="560" w:lineRule="exact"/>
        <w:ind w:firstLine="630"/>
        <w:rPr>
          <w:rFonts w:eastAsia="黑体"/>
          <w:color w:val="auto"/>
          <w:sz w:val="32"/>
          <w:szCs w:val="32"/>
          <w:lang w:eastAsia="zh-CN" w:bidi="zh-TW"/>
        </w:rPr>
      </w:pPr>
      <w:r>
        <w:rPr>
          <w:rFonts w:eastAsia="黑体"/>
          <w:b/>
          <w:bCs/>
          <w:color w:val="auto"/>
          <w:sz w:val="32"/>
          <w:szCs w:val="32"/>
          <w:lang w:eastAsia="zh-CN" w:bidi="zh-TW"/>
        </w:rPr>
        <w:t>六、其他需要报告的事项</w:t>
      </w:r>
    </w:p>
    <w:p>
      <w:pPr>
        <w:pStyle w:val="3"/>
        <w:shd w:val="clear" w:color="auto" w:fill="FFFFFF"/>
        <w:spacing w:before="0" w:beforeAutospacing="0" w:after="0" w:afterAutospacing="0" w:line="560" w:lineRule="exact"/>
        <w:ind w:firstLine="643" w:firstLineChars="200"/>
        <w:outlineLvl w:val="3"/>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eastAsia="zh-CN"/>
        </w:rPr>
        <w:t>（一）收取信息处理费的情况</w:t>
      </w:r>
    </w:p>
    <w:p>
      <w:pPr>
        <w:spacing w:line="560" w:lineRule="exact"/>
        <w:ind w:firstLine="640" w:firstLineChars="200"/>
        <w:rPr>
          <w:rFonts w:eastAsia="仿宋_GB2312"/>
          <w:color w:val="auto"/>
          <w:sz w:val="32"/>
          <w:szCs w:val="32"/>
          <w:lang w:eastAsia="zh-CN"/>
        </w:rPr>
      </w:pPr>
      <w:r>
        <w:rPr>
          <w:rFonts w:eastAsia="仿宋_GB2312"/>
          <w:color w:val="auto"/>
          <w:sz w:val="32"/>
          <w:szCs w:val="32"/>
          <w:lang w:eastAsia="zh-CN"/>
        </w:rPr>
        <w:t>本年度依申请公开政府信息未收取任何费用。</w:t>
      </w:r>
    </w:p>
    <w:p>
      <w:pPr>
        <w:spacing w:line="560" w:lineRule="exact"/>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（二）落实上级年度政务公开工作要点情况</w:t>
      </w:r>
    </w:p>
    <w:p>
      <w:pPr>
        <w:widowControl/>
        <w:shd w:val="clear" w:color="auto" w:fill="FFFFFF"/>
        <w:spacing w:line="560" w:lineRule="exact"/>
        <w:ind w:firstLine="640" w:firstLineChars="200"/>
        <w:rPr>
          <w:rFonts w:eastAsia="仿宋_GB2312"/>
          <w:color w:val="auto"/>
          <w:sz w:val="32"/>
          <w:szCs w:val="32"/>
          <w:lang w:eastAsia="zh-CN"/>
        </w:rPr>
      </w:pPr>
      <w:r>
        <w:rPr>
          <w:rFonts w:eastAsia="仿宋_GB2312"/>
          <w:color w:val="auto"/>
          <w:sz w:val="32"/>
          <w:szCs w:val="32"/>
          <w:lang w:eastAsia="zh-CN"/>
        </w:rPr>
        <w:t>2023年，我单位严格落实国家、省、市、区政务公开工作要点，认真做好相关信息公开，完成上级安排的其他工作任务，充分保障了群众的知情权、监督权。</w:t>
      </w:r>
    </w:p>
    <w:p>
      <w:pPr>
        <w:spacing w:line="560" w:lineRule="exact"/>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（三）人大代表建议和政协委员提案办理情况</w:t>
      </w:r>
    </w:p>
    <w:p>
      <w:pPr>
        <w:spacing w:line="560" w:lineRule="exact"/>
        <w:ind w:firstLine="640" w:firstLineChars="200"/>
        <w:rPr>
          <w:rFonts w:eastAsia="仿宋_GB2312"/>
          <w:color w:val="auto"/>
          <w:sz w:val="32"/>
          <w:szCs w:val="32"/>
          <w:lang w:eastAsia="zh-CN"/>
        </w:rPr>
      </w:pPr>
      <w:r>
        <w:rPr>
          <w:rFonts w:eastAsia="仿宋_GB2312"/>
          <w:color w:val="auto"/>
          <w:sz w:val="32"/>
          <w:szCs w:val="32"/>
          <w:lang w:eastAsia="zh-CN"/>
        </w:rPr>
        <w:t>今年我局共承办市、区人大代表建议9件，其中主办8件，协办1件；市、区政协提案12件，其中主办8件，协办4件，涉及爱国主义教育、教师队伍建设、 “双减”政策落实等方面。</w:t>
      </w:r>
      <w:r>
        <w:rPr>
          <w:rFonts w:hint="eastAsia" w:eastAsia="仿宋_GB2312"/>
          <w:color w:val="auto"/>
          <w:sz w:val="32"/>
          <w:szCs w:val="32"/>
          <w:lang w:val="en-US" w:eastAsia="zh-CN"/>
        </w:rPr>
        <w:t>截至目前</w:t>
      </w:r>
      <w:r>
        <w:rPr>
          <w:rFonts w:eastAsia="仿宋_GB2312"/>
          <w:color w:val="auto"/>
          <w:sz w:val="32"/>
          <w:szCs w:val="32"/>
          <w:lang w:eastAsia="zh-CN"/>
        </w:rPr>
        <w:t>，所有承办的代表建议、提案全部办理完毕，代表及委员对办理答复、过程和结果均满意。</w:t>
      </w:r>
    </w:p>
    <w:p>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pPr>
        <w:widowControl/>
        <w:spacing w:line="560" w:lineRule="exact"/>
        <w:ind w:firstLine="643" w:firstLineChars="200"/>
        <w:contextualSpacing/>
        <w:jc w:val="right"/>
        <w:rPr>
          <w:rFonts w:eastAsia="仿宋_GB2312"/>
          <w:b/>
          <w:bCs/>
          <w:color w:val="auto"/>
          <w:sz w:val="32"/>
          <w:szCs w:val="32"/>
          <w:shd w:val="clear" w:color="auto" w:fill="FFFFFF"/>
          <w:lang w:eastAsia="zh-CN"/>
        </w:rPr>
      </w:pPr>
      <w:r>
        <w:rPr>
          <w:rFonts w:eastAsia="仿宋_GB2312"/>
          <w:b/>
          <w:bCs/>
          <w:color w:val="auto"/>
          <w:sz w:val="32"/>
          <w:szCs w:val="32"/>
          <w:shd w:val="clear" w:color="auto" w:fill="FFFFFF"/>
          <w:lang w:eastAsia="zh-CN"/>
        </w:rPr>
        <w:t>市中区教育和体育局</w:t>
      </w:r>
    </w:p>
    <w:p>
      <w:pPr>
        <w:widowControl/>
        <w:spacing w:line="560" w:lineRule="exact"/>
        <w:ind w:firstLine="643" w:firstLineChars="200"/>
        <w:contextualSpacing/>
        <w:jc w:val="right"/>
        <w:rPr>
          <w:rFonts w:eastAsia="仿宋_GB2312"/>
          <w:color w:val="auto"/>
          <w:sz w:val="32"/>
          <w:szCs w:val="32"/>
          <w:shd w:val="clear" w:color="auto" w:fill="FFFFFF"/>
          <w:lang w:eastAsia="zh-CN"/>
        </w:rPr>
      </w:pPr>
      <w:r>
        <w:rPr>
          <w:rFonts w:eastAsia="仿宋_GB2312"/>
          <w:b/>
          <w:bCs/>
          <w:color w:val="auto"/>
          <w:sz w:val="32"/>
          <w:szCs w:val="32"/>
          <w:shd w:val="clear" w:color="auto" w:fill="FFFFFF"/>
          <w:lang w:eastAsia="zh-CN"/>
        </w:rPr>
        <w:t>2024年1月</w:t>
      </w:r>
      <w:r>
        <w:rPr>
          <w:rFonts w:hint="eastAsia" w:eastAsia="仿宋_GB2312"/>
          <w:b/>
          <w:bCs/>
          <w:color w:val="auto"/>
          <w:sz w:val="32"/>
          <w:szCs w:val="32"/>
          <w:shd w:val="clear" w:color="auto" w:fill="FFFFFF"/>
          <w:lang w:val="en-US" w:eastAsia="zh-CN"/>
        </w:rPr>
        <w:t>20</w:t>
      </w:r>
      <w:r>
        <w:rPr>
          <w:rFonts w:eastAsia="仿宋_GB2312"/>
          <w:b/>
          <w:bCs/>
          <w:color w:val="auto"/>
          <w:sz w:val="32"/>
          <w:szCs w:val="32"/>
          <w:shd w:val="clear" w:color="auto" w:fill="FFFFFF"/>
          <w:lang w:eastAsia="zh-CN"/>
        </w:rPr>
        <w:t>日</w:t>
      </w:r>
    </w:p>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kTlMUBAABtAwAADgAAAGRycy9lMm9Eb2MueG1srVPBbtswDL0P2D8I&#10;ui92M3TIjChFu6LDgGIb0PYDFFmKBUiiIKmxsw/o/mCnXXbfd+U7SslxWrS3YReZEsnH90h6eTZY&#10;Q7YyRA2O0ZNZTYl0AlrtNoze3V69W1ASE3ctN+AkozsZ6dnq7Ztl7xs5hw5MKwNBEBeb3jPapeSb&#10;qoqik5bHGXjp0KkgWJ7wGjZVG3iP6NZU87r+UPUQWh9AyBjx9XJ00lXBV0qK9E2pKBMxjCK3VM5Q&#10;znU+q9WSN5vAfafFgQb/BxaWa4dFj1CXPHFyH/QrKKtFgAgqzQTYCpTSQhYNqOakfqHmpuNeFi3Y&#10;nOiPbYr/D1Z83X4PRLeMfqTEcYsj2v/6uf/9d//ngbzP7el9bDDqxmNcGi5gwDFP7xEfs+pBBZu/&#10;qIegHxu9OzZXDomInLSYLxY1ugT6pgviV0/pPsT0WYIl2WA04PRKU/n2OqYxdArJ1RxcaWPKBI0j&#10;PUo4nZ+WhKMHwY3DGlnESDZbaVgPB2VraHcoDDcYC3YQflDS4zYw6nBdKTFfHDY7L85khMlYTwZ3&#10;AhMZTZSM5qdUFixTjP78PiHNwj6XHusdGOFMi/7D/uWleX4vUU9/ye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F5E5TFAQAAbQMAAA4AAAAAAAAAAQAgAAAAHgEAAGRycy9lMm9Eb2MueG1s&#10;UEsFBgAAAAAGAAYAWQEAAFUFA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5168;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23260"/>
    <w:rsid w:val="00031730"/>
    <w:rsid w:val="00081823"/>
    <w:rsid w:val="00106CD5"/>
    <w:rsid w:val="00112B69"/>
    <w:rsid w:val="001C08CF"/>
    <w:rsid w:val="001E73F0"/>
    <w:rsid w:val="003E7DF3"/>
    <w:rsid w:val="004D3201"/>
    <w:rsid w:val="005A70FF"/>
    <w:rsid w:val="00611A8B"/>
    <w:rsid w:val="0086319F"/>
    <w:rsid w:val="008F2BF2"/>
    <w:rsid w:val="00A63041"/>
    <w:rsid w:val="00B03096"/>
    <w:rsid w:val="00BF393F"/>
    <w:rsid w:val="00CE22BA"/>
    <w:rsid w:val="00D6524C"/>
    <w:rsid w:val="00E202B1"/>
    <w:rsid w:val="00E52428"/>
    <w:rsid w:val="00F0539A"/>
    <w:rsid w:val="021D046B"/>
    <w:rsid w:val="025E0CC2"/>
    <w:rsid w:val="0A3E1141"/>
    <w:rsid w:val="0B8F2AB2"/>
    <w:rsid w:val="0D426B65"/>
    <w:rsid w:val="0DB7343A"/>
    <w:rsid w:val="101A475B"/>
    <w:rsid w:val="17EC6909"/>
    <w:rsid w:val="1AAF71B2"/>
    <w:rsid w:val="1D276D79"/>
    <w:rsid w:val="1DC53412"/>
    <w:rsid w:val="1FD24907"/>
    <w:rsid w:val="2007106B"/>
    <w:rsid w:val="227F4F5F"/>
    <w:rsid w:val="24B65C7B"/>
    <w:rsid w:val="271F6DB2"/>
    <w:rsid w:val="28BE4FD8"/>
    <w:rsid w:val="2A366FA5"/>
    <w:rsid w:val="2A6E4A40"/>
    <w:rsid w:val="2B247393"/>
    <w:rsid w:val="2B7E7F7A"/>
    <w:rsid w:val="34C27E73"/>
    <w:rsid w:val="372B44B7"/>
    <w:rsid w:val="37DD4F2A"/>
    <w:rsid w:val="3CA63654"/>
    <w:rsid w:val="424E6C95"/>
    <w:rsid w:val="42962A0C"/>
    <w:rsid w:val="43677CBB"/>
    <w:rsid w:val="4A263FB9"/>
    <w:rsid w:val="4AD160A1"/>
    <w:rsid w:val="4BE16E0F"/>
    <w:rsid w:val="5A891C07"/>
    <w:rsid w:val="5AE6494C"/>
    <w:rsid w:val="5EA95810"/>
    <w:rsid w:val="62A02DE5"/>
    <w:rsid w:val="62DF0CAC"/>
    <w:rsid w:val="64490C92"/>
    <w:rsid w:val="6EC52406"/>
    <w:rsid w:val="71254A62"/>
    <w:rsid w:val="71742F46"/>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unhideWhenUsed/>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 w:type="character" w:customStyle="1" w:styleId="11">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467</Words>
  <Characters>2665</Characters>
  <Lines>22</Lines>
  <Paragraphs>6</Paragraphs>
  <TotalTime>8</TotalTime>
  <ScaleCrop>false</ScaleCrop>
  <LinksUpToDate>false</LinksUpToDate>
  <CharactersWithSpaces>3126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2024-01-31T09:19:29Z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