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olor w:val="000000" w:themeColor="text1"/>
          <w:sz w:val="44"/>
          <w:szCs w:val="44"/>
          <w:lang w:eastAsia="zh-CN"/>
          <w14:textFill>
            <w14:solidFill>
              <w14:schemeClr w14:val="tx1"/>
            </w14:solidFill>
          </w14:textFill>
        </w:rPr>
        <w:t>市中区医疗保障局</w:t>
      </w:r>
    </w:p>
    <w:p>
      <w:pPr>
        <w:spacing w:line="560" w:lineRule="exact"/>
        <w:jc w:val="center"/>
        <w:rPr>
          <w:rFonts w:ascii="方正小标宋简体" w:hAns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202</w:t>
      </w:r>
      <w:r>
        <w:rPr>
          <w:rFonts w:hint="eastAsia" w:ascii="方正小标宋简体" w:eastAsia="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olor w:val="000000" w:themeColor="text1"/>
          <w:sz w:val="44"/>
          <w:szCs w:val="44"/>
          <w:lang w:eastAsia="zh-CN"/>
          <w14:textFill>
            <w14:solidFill>
              <w14:schemeClr w14:val="tx1"/>
            </w14:solidFill>
          </w14:textFill>
        </w:rPr>
        <w:t>年政府信息公开工作年度报告</w:t>
      </w:r>
    </w:p>
    <w:p>
      <w:pPr>
        <w:spacing w:line="560" w:lineRule="exact"/>
        <w:jc w:val="center"/>
        <w:rPr>
          <w:rFonts w:ascii="方正小标宋简体" w:hAnsi="方正小标宋简体" w:eastAsia="方正小标宋简体"/>
          <w:color w:val="000000" w:themeColor="text1"/>
          <w:sz w:val="44"/>
          <w:szCs w:val="44"/>
          <w:lang w:eastAsia="zh-CN"/>
          <w14:textFill>
            <w14:solidFill>
              <w14:schemeClr w14:val="tx1"/>
            </w14:solidFill>
          </w14:textFill>
        </w:rPr>
      </w:pPr>
    </w:p>
    <w:p>
      <w:pPr>
        <w:keepLines/>
        <w:widowControl/>
        <w:spacing w:line="560" w:lineRule="exact"/>
        <w:ind w:firstLine="640" w:firstLineChars="200"/>
        <w:contextualSpacing/>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本年度报告根据《中华人民共和国政府信息公开条例》和《国务院办公厅政府信息与政务公开办公室关于印发</w:t>
      </w:r>
      <w:r>
        <w:rPr>
          <w:rFonts w:hint="eastAsia" w:eastAsia="仿宋_GB2312"/>
          <w:color w:val="000000" w:themeColor="text1"/>
          <w:sz w:val="32"/>
          <w:szCs w:val="32"/>
          <w:shd w:val="clear" w:color="auto" w:fill="FFFFFF"/>
          <w:lang w:eastAsia="zh-CN"/>
          <w14:textFill>
            <w14:solidFill>
              <w14:schemeClr w14:val="tx1"/>
            </w14:solidFill>
          </w14:textFill>
        </w:rPr>
        <w:t>&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w:t>
      </w:r>
      <w:r>
        <w:rPr>
          <w:rFonts w:eastAsia="仿宋_GB2312"/>
          <w:color w:val="000000" w:themeColor="text1"/>
          <w:sz w:val="32"/>
          <w:szCs w:val="32"/>
          <w:shd w:val="clear" w:color="auto" w:fill="FFFFFF"/>
          <w:lang w:eastAsia="zh-CN"/>
          <w14:textFill>
            <w14:solidFill>
              <w14:schemeClr w14:val="tx1"/>
            </w14:solidFill>
          </w14:textFill>
        </w:rPr>
        <w:t>如对本报告有疑问，可与市中区医疗保障局联系（地址:枣庄市市中区建华西路82号，邮编：277100，电话：0632-3067266，</w:t>
      </w:r>
      <w:r>
        <w:rPr>
          <w:rFonts w:eastAsia="仿宋_GB2312"/>
          <w:color w:val="000000" w:themeColor="text1"/>
          <w:sz w:val="32"/>
          <w:szCs w:val="32"/>
          <w:shd w:val="clear" w:color="auto" w:fill="FFFFFF"/>
          <w:lang w:eastAsia="zh-CN" w:bidi="ar"/>
          <w14:textFill>
            <w14:solidFill>
              <w14:schemeClr w14:val="tx1"/>
            </w14:solidFill>
          </w14:textFill>
        </w:rPr>
        <w:t>电子邮箱：</w:t>
      </w:r>
      <w:r>
        <w:rPr>
          <w:rFonts w:eastAsia="仿宋_GB2312"/>
          <w:color w:val="000000" w:themeColor="text1"/>
          <w:sz w:val="32"/>
          <w:szCs w:val="32"/>
          <w:shd w:val="clear" w:color="auto" w:fill="FFFFFF"/>
          <w:lang w:eastAsia="zh-CN"/>
          <w14:textFill>
            <w14:solidFill>
              <w14:schemeClr w14:val="tx1"/>
            </w14:solidFill>
          </w14:textFill>
        </w:rPr>
        <w:fldChar w:fldCharType="begin"/>
      </w:r>
      <w:r>
        <w:rPr>
          <w:rFonts w:eastAsia="仿宋_GB2312"/>
          <w:color w:val="000000" w:themeColor="text1"/>
          <w:sz w:val="32"/>
          <w:szCs w:val="32"/>
          <w:shd w:val="clear" w:color="auto" w:fill="FFFFFF"/>
          <w:lang w:eastAsia="zh-CN"/>
          <w14:textFill>
            <w14:solidFill>
              <w14:schemeClr w14:val="tx1"/>
            </w14:solidFill>
          </w14:textFill>
        </w:rPr>
        <w:instrText xml:space="preserve"> HYPERLINK "mailto:htqzfzwgkk@wf.shandong.cn%E3%80%82" </w:instrText>
      </w:r>
      <w:r>
        <w:rPr>
          <w:rFonts w:eastAsia="仿宋_GB2312"/>
          <w:color w:val="000000" w:themeColor="text1"/>
          <w:sz w:val="32"/>
          <w:szCs w:val="32"/>
          <w:shd w:val="clear" w:color="auto" w:fill="FFFFFF"/>
          <w:lang w:eastAsia="zh-CN"/>
          <w14:textFill>
            <w14:solidFill>
              <w14:schemeClr w14:val="tx1"/>
            </w14:solidFill>
          </w14:textFill>
        </w:rPr>
        <w:fldChar w:fldCharType="separate"/>
      </w:r>
      <w:r>
        <w:rPr>
          <w:rFonts w:eastAsia="仿宋_GB2312"/>
          <w:color w:val="000000" w:themeColor="text1"/>
          <w:sz w:val="32"/>
          <w:szCs w:val="32"/>
          <w:shd w:val="clear" w:color="auto" w:fill="FFFFFF"/>
          <w:lang w:eastAsia="zh-CN"/>
          <w14:textFill>
            <w14:solidFill>
              <w14:schemeClr w14:val="tx1"/>
            </w14:solidFill>
          </w14:textFill>
        </w:rPr>
        <w:t>szqylbzj@zz.shandong.cn</w:t>
      </w:r>
      <w:r>
        <w:rPr>
          <w:rFonts w:eastAsia="仿宋_GB2312"/>
          <w:color w:val="000000" w:themeColor="text1"/>
          <w:sz w:val="32"/>
          <w:szCs w:val="32"/>
          <w:shd w:val="clear" w:color="auto" w:fill="FFFFFF"/>
          <w:lang w:eastAsia="zh-CN"/>
          <w14:textFill>
            <w14:solidFill>
              <w14:schemeClr w14:val="tx1"/>
            </w14:solidFill>
          </w14:textFill>
        </w:rPr>
        <w:fldChar w:fldCharType="end"/>
      </w:r>
      <w:r>
        <w:rPr>
          <w:rFonts w:eastAsia="仿宋_GB2312"/>
          <w:color w:val="000000" w:themeColor="text1"/>
          <w:sz w:val="32"/>
          <w:szCs w:val="32"/>
          <w:shd w:val="clear" w:color="auto" w:fill="FFFFFF"/>
          <w:lang w:eastAsia="zh-CN"/>
          <w14:textFill>
            <w14:solidFill>
              <w14:schemeClr w14:val="tx1"/>
            </w14:solidFill>
          </w14:textFill>
        </w:rPr>
        <w:t>。</w:t>
      </w:r>
    </w:p>
    <w:p>
      <w:pPr>
        <w:spacing w:line="560" w:lineRule="exact"/>
        <w:ind w:firstLine="643" w:firstLineChars="200"/>
        <w:rPr>
          <w:rFonts w:ascii="黑体" w:hAnsi="黑体" w:eastAsia="黑体" w:cs="黑体"/>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bCs/>
          <w:color w:val="000000" w:themeColor="text1"/>
          <w:sz w:val="32"/>
          <w:szCs w:val="32"/>
          <w:shd w:val="clear" w:color="auto" w:fill="FFFFFF"/>
          <w:lang w:val="en-US" w:eastAsia="zh-CN"/>
          <w14:textFill>
            <w14:solidFill>
              <w14:schemeClr w14:val="tx1"/>
            </w14:solidFill>
          </w14:textFill>
        </w:rPr>
        <w:t>一、</w:t>
      </w:r>
      <w:r>
        <w:rPr>
          <w:rFonts w:hint="eastAsia" w:ascii="黑体" w:hAnsi="黑体" w:eastAsia="黑体" w:cs="黑体"/>
          <w:b/>
          <w:bCs/>
          <w:color w:val="000000" w:themeColor="text1"/>
          <w:sz w:val="32"/>
          <w:szCs w:val="32"/>
          <w:shd w:val="clear" w:color="auto" w:fill="FFFFFF"/>
          <w:lang w:eastAsia="zh-CN"/>
          <w14:textFill>
            <w14:solidFill>
              <w14:schemeClr w14:val="tx1"/>
            </w14:solidFill>
          </w14:textFill>
        </w:rPr>
        <w:t>总体情况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eastAsia="黑体"/>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主动公开</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2023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区医疗保障局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照政府信息公开工作要求，结合医保工作实际，扎实推进政府信息公开各项工作,及时公开政府重点工作任务落实和最新医保政策，主动公开公共服务办理结果及医保监管相关内容，开展各种形式的政策解读活动，全年共计主动公开政府信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依申请公开</w:t>
      </w:r>
    </w:p>
    <w:p>
      <w:pPr>
        <w:spacing w:line="560" w:lineRule="exact"/>
        <w:ind w:firstLine="640" w:firstLineChars="200"/>
        <w:rPr>
          <w:rFonts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2023</w:t>
      </w:r>
      <w:r>
        <w:rPr>
          <w:rFonts w:hint="eastAsia" w:eastAsia="仿宋_GB2312"/>
          <w:color w:val="000000" w:themeColor="text1"/>
          <w:sz w:val="32"/>
          <w:szCs w:val="32"/>
          <w:shd w:val="clear" w:color="auto" w:fill="FFFFFF"/>
          <w:lang w:eastAsia="zh-CN"/>
          <w14:textFill>
            <w14:solidFill>
              <w14:schemeClr w14:val="tx1"/>
            </w14:solidFill>
          </w14:textFill>
        </w:rPr>
        <w:t>年区</w:t>
      </w:r>
      <w:r>
        <w:rPr>
          <w:rFonts w:hint="eastAsia" w:eastAsia="仿宋_GB2312"/>
          <w:color w:val="000000" w:themeColor="text1"/>
          <w:sz w:val="32"/>
          <w:szCs w:val="32"/>
          <w:shd w:val="clear" w:color="auto" w:fill="FFFFFF"/>
          <w:lang w:val="en-US" w:eastAsia="zh-CN"/>
          <w14:textFill>
            <w14:solidFill>
              <w14:schemeClr w14:val="tx1"/>
            </w14:solidFill>
          </w14:textFill>
        </w:rPr>
        <w:t>医疗保障局</w:t>
      </w:r>
      <w:r>
        <w:rPr>
          <w:rFonts w:hint="eastAsia" w:eastAsia="仿宋_GB2312"/>
          <w:color w:val="000000" w:themeColor="text1"/>
          <w:sz w:val="32"/>
          <w:szCs w:val="32"/>
          <w:shd w:val="clear" w:color="auto" w:fill="FFFFFF"/>
          <w:lang w:eastAsia="zh-CN"/>
          <w14:textFill>
            <w14:solidFill>
              <w14:schemeClr w14:val="tx1"/>
            </w14:solidFill>
          </w14:textFill>
        </w:rPr>
        <w:t>未收到政府信息公开申请，无收费和减免事项，无因信息公开申请而被提起行政复议和行政诉讼情况</w:t>
      </w:r>
      <w:r>
        <w:rPr>
          <w:rFonts w:eastAsia="仿宋_GB2312"/>
          <w:color w:val="000000" w:themeColor="text1"/>
          <w:sz w:val="32"/>
          <w:szCs w:val="32"/>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政府信息管理</w:t>
      </w:r>
    </w:p>
    <w:p>
      <w:pPr>
        <w:widowControl/>
        <w:shd w:val="clear" w:color="auto" w:fill="FFFFFF"/>
        <w:spacing w:line="560" w:lineRule="exact"/>
        <w:ind w:firstLine="640" w:firstLineChars="200"/>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1.</w:t>
      </w:r>
      <w:r>
        <w:rPr>
          <w:rFonts w:hint="eastAsia" w:eastAsia="仿宋_GB2312"/>
          <w:color w:val="000000" w:themeColor="text1"/>
          <w:sz w:val="32"/>
          <w:szCs w:val="32"/>
          <w:shd w:val="clear" w:color="auto" w:fill="FFFFFF"/>
          <w:lang w:eastAsia="zh-CN"/>
          <w14:textFill>
            <w14:solidFill>
              <w14:schemeClr w14:val="tx1"/>
            </w14:solidFill>
          </w14:textFill>
        </w:rPr>
        <w:t>扎实推进政府信息公开工作。为切实加强对政府信息公开工作的指导，我局调整充实了政府信息公开工作小组成员名单，统筹安排部署全局上下的政府信息公开工作。明确了工作重点，细化了相关制度，确保了政府信息公开工作有条不紊的开展。</w:t>
      </w:r>
    </w:p>
    <w:p>
      <w:pPr>
        <w:widowControl/>
        <w:shd w:val="clear" w:color="auto" w:fill="FFFFFF"/>
        <w:spacing w:line="560" w:lineRule="exact"/>
        <w:ind w:firstLine="640" w:firstLineChars="200"/>
        <w:rPr>
          <w:rFonts w:hint="default"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2.加大线上公开的维度和力度。围绕医疗保障政策、行政处罚文书及违规定点医药机构信息等群众关心的热点问题，加大公开力度。进一步完善依申请公开的受理、答复机制，畅通渠道，规范程序，提高公开的质量和实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（四）政府信息公开</w:t>
      </w: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平台建设</w:t>
      </w:r>
    </w:p>
    <w:p>
      <w:pPr>
        <w:widowControl/>
        <w:shd w:val="clear" w:color="auto" w:fill="FFFFFF"/>
        <w:spacing w:line="560" w:lineRule="exact"/>
        <w:ind w:firstLine="640" w:firstLineChars="200"/>
        <w:rPr>
          <w:rFonts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val="en-US" w:eastAsia="zh-CN"/>
          <w14:textFill>
            <w14:solidFill>
              <w14:schemeClr w14:val="tx1"/>
            </w14:solidFill>
          </w14:textFill>
        </w:rPr>
        <w:t>一是</w:t>
      </w:r>
      <w:r>
        <w:rPr>
          <w:rFonts w:eastAsia="仿宋_GB2312"/>
          <w:color w:val="000000" w:themeColor="text1"/>
          <w:sz w:val="32"/>
          <w:szCs w:val="32"/>
          <w:shd w:val="clear" w:color="auto" w:fill="FFFFFF"/>
          <w:lang w:eastAsia="zh-CN"/>
          <w14:textFill>
            <w14:solidFill>
              <w14:schemeClr w14:val="tx1"/>
            </w14:solidFill>
          </w14:textFill>
        </w:rPr>
        <w:t>按照“公开为常态，不公开为例外”的总要求，进一步深入实施政府信息公开条例，准确及时全面地公开政府信息。对信息公开各项制度、信息公开指南、信息公开目录、部门信息公开等内容在网上进行了全面公开，充分满足人民群众对政府信息查询、信息公开申请、办事服务咨询等要求。</w:t>
      </w:r>
    </w:p>
    <w:p>
      <w:pPr>
        <w:widowControl/>
        <w:shd w:val="clear" w:color="auto" w:fill="FFFFFF"/>
        <w:spacing w:line="560" w:lineRule="exact"/>
        <w:ind w:firstLine="640" w:firstLineChars="200"/>
        <w:rPr>
          <w:rFonts w:hint="default"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val="en-US" w:eastAsia="zh-CN"/>
          <w14:textFill>
            <w14:solidFill>
              <w14:schemeClr w14:val="tx1"/>
            </w14:solidFill>
          </w14:textFill>
        </w:rPr>
        <w:t>二是</w:t>
      </w:r>
      <w:r>
        <w:rPr>
          <w:rFonts w:hint="eastAsia" w:eastAsia="仿宋_GB2312"/>
          <w:color w:val="000000" w:themeColor="text1"/>
          <w:sz w:val="32"/>
          <w:szCs w:val="32"/>
          <w:shd w:val="clear" w:color="auto" w:fill="FFFFFF"/>
          <w:lang w:eastAsia="zh-CN"/>
          <w14:textFill>
            <w14:solidFill>
              <w14:schemeClr w14:val="tx1"/>
            </w14:solidFill>
          </w14:textFill>
        </w:rPr>
        <w:t>完善服务大厅政务公开功能。结合医保服务大厅空闲场地摆放政策宣传册、办事指南等，显示屏循环播放最新政策文件解读，同时配备专门的政策讲解员解答群众疑问。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b/>
          <w:bCs/>
          <w:color w:val="000000" w:themeColor="text1"/>
          <w:sz w:val="32"/>
          <w:szCs w:val="32"/>
          <w:lang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bidi="ar-SA"/>
          <w14:textFill>
            <w14:solidFill>
              <w14:schemeClr w14:val="tx1"/>
            </w14:solidFill>
          </w14:textFill>
        </w:rPr>
        <w:t>（五）</w:t>
      </w:r>
      <w:r>
        <w:rPr>
          <w:rFonts w:hint="eastAsia" w:ascii="楷体_GB2312" w:hAnsi="楷体_GB2312" w:eastAsia="楷体_GB2312" w:cs="楷体_GB2312"/>
          <w:b/>
          <w:bCs/>
          <w:color w:val="000000" w:themeColor="text1"/>
          <w:sz w:val="32"/>
          <w:szCs w:val="32"/>
          <w:lang w:eastAsia="zh-CN" w:bidi="ar-SA"/>
          <w14:textFill>
            <w14:solidFill>
              <w14:schemeClr w14:val="tx1"/>
            </w14:solidFill>
          </w14:textFill>
        </w:rPr>
        <w:t>监督保障</w:t>
      </w:r>
    </w:p>
    <w:p>
      <w:pPr>
        <w:pStyle w:val="4"/>
        <w:shd w:val="clear" w:color="auto" w:fill="FFFFFF"/>
        <w:wordWrap w:val="0"/>
        <w:spacing w:before="0" w:beforeAutospacing="0" w:after="0" w:afterAutospacing="0" w:line="560" w:lineRule="exact"/>
        <w:ind w:firstLine="640" w:firstLineChars="200"/>
        <w:jc w:val="both"/>
        <w:rPr>
          <w:rFonts w:ascii="Times New Roman" w:hAnsi="Times New Roman" w:eastAsia="黑体"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成立了以党组书记、局长为组长，班子成员为副组长的政务公开工作领导小组，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领</w:t>
      </w:r>
      <w:r>
        <w:rPr>
          <w:rFonts w:ascii="Times New Roman" w:hAnsi="Times New Roman" w:eastAsia="仿宋_GB2312" w:cs="Times New Roman"/>
          <w:color w:val="000000" w:themeColor="text1"/>
          <w:sz w:val="32"/>
          <w:szCs w:val="32"/>
          <w:lang w:eastAsia="zh-CN"/>
          <w14:textFill>
            <w14:solidFill>
              <w14:schemeClr w14:val="tx1"/>
            </w14:solidFill>
          </w14:textFill>
        </w:rPr>
        <w:t>导小组下设办公室，对公开信息的数量、内容、审查程序、时效性等进行专项自查，同时针对有关部门的专项检查及测评中发现的问题，主动及时整改，不断提高政府信息公开工作的质量和水平。</w:t>
      </w:r>
    </w:p>
    <w:p>
      <w:pPr>
        <w:pStyle w:val="10"/>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黑体" w:hAnsi="黑体" w:eastAsia="黑体" w:cs="黑体"/>
          <w:color w:val="000000" w:themeColor="text1"/>
          <w:sz w:val="32"/>
          <w:szCs w:val="32"/>
          <w:lang w:val="en-US" w:eastAsia="zh-CN" w:bidi="en-US"/>
          <w14:textFill>
            <w14:solidFill>
              <w14:schemeClr w14:val="tx1"/>
            </w14:solidFill>
          </w14:textFill>
        </w:rPr>
      </w:pPr>
      <w:r>
        <w:rPr>
          <w:rFonts w:hint="eastAsia" w:ascii="Times New Roman" w:hAnsi="黑体" w:eastAsia="黑体" w:cs="Times New Roman"/>
          <w:b/>
          <w:bCs w:val="0"/>
          <w:color w:val="000000" w:themeColor="text1"/>
          <w:sz w:val="32"/>
          <w:szCs w:val="32"/>
          <w:lang w:val="en-US" w:eastAsia="zh-CN"/>
          <w14:textFill>
            <w14:solidFill>
              <w14:schemeClr w14:val="tx1"/>
            </w14:solidFill>
          </w14:textFill>
        </w:rPr>
        <w:t>二、</w:t>
      </w:r>
      <w:r>
        <w:rPr>
          <w:rFonts w:ascii="Times New Roman" w:hAnsi="黑体" w:eastAsia="黑体" w:cs="Times New Roman"/>
          <w:b/>
          <w:bCs w:val="0"/>
          <w:color w:val="000000" w:themeColor="text1"/>
          <w:sz w:val="32"/>
          <w:szCs w:val="32"/>
          <w14:textFill>
            <w14:solidFill>
              <w14:schemeClr w14:val="tx1"/>
            </w14:solidFill>
          </w14:textFill>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规章</w:t>
            </w:r>
          </w:p>
        </w:tc>
        <w:tc>
          <w:tcPr>
            <w:tcW w:w="2206" w:type="dxa"/>
            <w:tcBorders>
              <w:top w:val="nil"/>
              <w:left w:val="nil"/>
              <w:bottom w:val="single" w:color="auto" w:sz="8" w:space="0"/>
              <w:right w:val="single" w:color="auto" w:sz="8" w:space="0"/>
            </w:tcBorders>
            <w:shd w:val="clear" w:color="auto" w:fill="auto"/>
            <w:vAlign w:val="center"/>
          </w:tcPr>
          <w:p>
            <w:pPr>
              <w:widowControl/>
              <w:rPr>
                <w:rFonts w:eastAsia="仿宋_GB2312"/>
                <w:color w:val="000000" w:themeColor="text1"/>
                <w:szCs w:val="21"/>
                <w:lang w:eastAsia="zh-CN"/>
                <w14:textFill>
                  <w14:solidFill>
                    <w14:schemeClr w14:val="tx1"/>
                  </w14:solidFill>
                </w14:textFill>
              </w:rPr>
            </w:pPr>
            <w:r>
              <w:rPr>
                <w:rFonts w:eastAsia="仿宋_GB2312"/>
                <w:color w:val="000000" w:themeColor="text1"/>
                <w:szCs w:val="21"/>
                <w14:textFill>
                  <w14:solidFill>
                    <w14:schemeClr w14:val="tx1"/>
                  </w14:solidFill>
                </w14:textFill>
              </w:rPr>
              <w:t>　　</w:t>
            </w:r>
            <w:r>
              <w:rPr>
                <w:rFonts w:hint="eastAsia" w:eastAsia="仿宋_GB2312"/>
                <w:color w:val="000000" w:themeColor="text1"/>
                <w:szCs w:val="21"/>
                <w:lang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rPr>
                <w:rFonts w:eastAsia="仿宋_GB2312"/>
                <w:color w:val="000000" w:themeColor="text1"/>
                <w:szCs w:val="21"/>
                <w:lang w:eastAsia="zh-CN"/>
                <w14:textFill>
                  <w14:solidFill>
                    <w14:schemeClr w14:val="tx1"/>
                  </w14:solidFill>
                </w14:textFill>
              </w:rPr>
            </w:pPr>
            <w:r>
              <w:rPr>
                <w:rFonts w:eastAsia="仿宋_GB2312"/>
                <w:color w:val="000000" w:themeColor="text1"/>
                <w:szCs w:val="21"/>
                <w14:textFill>
                  <w14:solidFill>
                    <w14:schemeClr w14:val="tx1"/>
                  </w14:solidFill>
                </w14:textFill>
              </w:rPr>
              <w:t> 　</w:t>
            </w:r>
            <w:r>
              <w:rPr>
                <w:rFonts w:hint="eastAsia" w:eastAsia="仿宋_GB2312"/>
                <w:color w:val="000000" w:themeColor="text1"/>
                <w:szCs w:val="21"/>
                <w:lang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rPr>
                <w:rFonts w:eastAsia="仿宋_GB2312"/>
                <w:color w:val="000000" w:themeColor="text1"/>
                <w:szCs w:val="21"/>
                <w:lang w:eastAsia="zh-CN"/>
                <w14:textFill>
                  <w14:solidFill>
                    <w14:schemeClr w14:val="tx1"/>
                  </w14:solidFill>
                </w14:textFill>
              </w:rPr>
            </w:pPr>
            <w:r>
              <w:rPr>
                <w:rFonts w:eastAsia="仿宋_GB2312"/>
                <w:color w:val="000000" w:themeColor="text1"/>
                <w:szCs w:val="21"/>
                <w14:textFill>
                  <w14:solidFill>
                    <w14:schemeClr w14:val="tx1"/>
                  </w14:solidFill>
                </w14:textFill>
              </w:rPr>
              <w:t>　</w:t>
            </w:r>
            <w:r>
              <w:rPr>
                <w:rFonts w:hint="eastAsia" w:eastAsia="仿宋_GB2312"/>
                <w:color w:val="000000" w:themeColor="text1"/>
                <w:szCs w:val="21"/>
                <w:lang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rPr>
                <w:rFonts w:eastAsia="仿宋_GB2312"/>
                <w:color w:val="000000" w:themeColor="text1"/>
                <w:szCs w:val="21"/>
                <w:lang w:eastAsia="zh-CN"/>
                <w14:textFill>
                  <w14:solidFill>
                    <w14:schemeClr w14:val="tx1"/>
                  </w14:solidFill>
                </w14:textFill>
              </w:rPr>
            </w:pPr>
            <w:r>
              <w:rPr>
                <w:rFonts w:eastAsia="仿宋_GB2312"/>
                <w:color w:val="000000" w:themeColor="text1"/>
                <w:szCs w:val="21"/>
                <w14:textFill>
                  <w14:solidFill>
                    <w14:schemeClr w14:val="tx1"/>
                  </w14:solidFill>
                </w14:textFill>
              </w:rPr>
              <w:t>　　</w:t>
            </w:r>
            <w:r>
              <w:rPr>
                <w:rFonts w:hint="eastAsia" w:eastAsia="仿宋_GB2312"/>
                <w:color w:val="000000" w:themeColor="text1"/>
                <w:szCs w:val="21"/>
                <w:lang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rPr>
                <w:rFonts w:eastAsia="仿宋_GB2312"/>
                <w:color w:val="000000" w:themeColor="text1"/>
                <w:szCs w:val="21"/>
                <w:lang w:eastAsia="zh-CN"/>
                <w14:textFill>
                  <w14:solidFill>
                    <w14:schemeClr w14:val="tx1"/>
                  </w14:solidFill>
                </w14:textFill>
              </w:rPr>
            </w:pPr>
            <w:r>
              <w:rPr>
                <w:rFonts w:eastAsia="仿宋_GB2312"/>
                <w:color w:val="000000" w:themeColor="text1"/>
                <w:szCs w:val="21"/>
                <w14:textFill>
                  <w14:solidFill>
                    <w14:schemeClr w14:val="tx1"/>
                  </w14:solidFill>
                </w14:textFill>
              </w:rPr>
              <w:t> 　</w:t>
            </w:r>
            <w:r>
              <w:rPr>
                <w:rFonts w:hint="eastAsia" w:eastAsia="仿宋_GB2312"/>
                <w:color w:val="000000" w:themeColor="text1"/>
                <w:szCs w:val="21"/>
                <w:lang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rPr>
                <w:rFonts w:eastAsia="仿宋_GB2312"/>
                <w:color w:val="000000" w:themeColor="text1"/>
                <w:szCs w:val="21"/>
                <w:lang w:eastAsia="zh-CN"/>
                <w14:textFill>
                  <w14:solidFill>
                    <w14:schemeClr w14:val="tx1"/>
                  </w14:solidFill>
                </w14:textFill>
              </w:rPr>
            </w:pPr>
            <w:r>
              <w:rPr>
                <w:rFonts w:eastAsia="仿宋_GB2312"/>
                <w:color w:val="000000" w:themeColor="text1"/>
                <w:szCs w:val="21"/>
                <w14:textFill>
                  <w14:solidFill>
                    <w14:schemeClr w14:val="tx1"/>
                  </w14:solidFill>
                </w14:textFill>
              </w:rPr>
              <w:t>　</w:t>
            </w:r>
            <w:r>
              <w:rPr>
                <w:rFonts w:hint="eastAsia" w:eastAsia="仿宋_GB2312"/>
                <w:color w:val="000000" w:themeColor="text1"/>
                <w:szCs w:val="21"/>
                <w:lang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eastAsia="仿宋_GB2312"/>
                <w:color w:val="000000" w:themeColor="text1"/>
                <w:szCs w:val="21"/>
                <w:lang w:eastAsia="zh-CN"/>
                <w14:textFill>
                  <w14:solidFill>
                    <w14:schemeClr w14:val="tx1"/>
                  </w14:solidFill>
                </w14:textFill>
              </w:rPr>
            </w:pPr>
            <w:r>
              <w:rPr>
                <w:rFonts w:eastAsia="仿宋_GB2312"/>
                <w:color w:val="000000" w:themeColor="text1"/>
                <w:szCs w:val="21"/>
                <w14:textFill>
                  <w14:solidFill>
                    <w14:schemeClr w14:val="tx1"/>
                  </w14:solidFill>
                </w14:textFill>
              </w:rPr>
              <w:t>　</w:t>
            </w:r>
            <w:r>
              <w:rPr>
                <w:rFonts w:hint="eastAsia" w:eastAsia="仿宋_GB2312"/>
                <w:color w:val="000000" w:themeColor="text1"/>
                <w:szCs w:val="21"/>
                <w:lang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hint="default" w:eastAsia="仿宋_GB2312"/>
                <w:color w:val="000000" w:themeColor="text1"/>
                <w:szCs w:val="21"/>
                <w:lang w:val="en-US" w:eastAsia="zh-CN"/>
                <w14:textFill>
                  <w14:solidFill>
                    <w14:schemeClr w14:val="tx1"/>
                  </w14:solidFill>
                </w14:textFill>
              </w:rPr>
            </w:pPr>
            <w:r>
              <w:rPr>
                <w:rFonts w:eastAsia="仿宋_GB2312"/>
                <w:color w:val="000000" w:themeColor="text1"/>
                <w:szCs w:val="21"/>
                <w14:textFill>
                  <w14:solidFill>
                    <w14:schemeClr w14:val="tx1"/>
                  </w14:solidFill>
                </w14:textFill>
              </w:rPr>
              <w:t>　</w:t>
            </w:r>
            <w:r>
              <w:rPr>
                <w:rFonts w:hint="default" w:eastAsia="仿宋_GB2312"/>
                <w:color w:val="000000" w:themeColor="text1"/>
                <w:szCs w:val="21"/>
                <w:lang w:val="en-US" w:eastAsia="zh-CN"/>
                <w14:textFill>
                  <w14:solidFill>
                    <w14:schemeClr w14:val="tx1"/>
                  </w14:solidFill>
                </w14:textFill>
              </w:rPr>
              <w:t>17</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eastAsia="仿宋_GB2312"/>
                <w:color w:val="000000" w:themeColor="text1"/>
                <w:szCs w:val="21"/>
                <w:lang w:eastAsia="zh-CN"/>
                <w14:textFill>
                  <w14:solidFill>
                    <w14:schemeClr w14:val="tx1"/>
                  </w14:solidFill>
                </w14:textFill>
              </w:rPr>
            </w:pPr>
            <w:r>
              <w:rPr>
                <w:rFonts w:eastAsia="仿宋_GB2312"/>
                <w:color w:val="000000" w:themeColor="text1"/>
                <w:szCs w:val="21"/>
                <w14:textFill>
                  <w14:solidFill>
                    <w14:schemeClr w14:val="tx1"/>
                  </w14:solidFill>
                </w14:textFill>
              </w:rPr>
              <w:t>　</w:t>
            </w:r>
            <w:r>
              <w:rPr>
                <w:rFonts w:hint="eastAsia" w:eastAsia="仿宋_GB2312"/>
                <w:color w:val="000000" w:themeColor="text1"/>
                <w:szCs w:val="21"/>
                <w:lang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仿宋_GB2312"/>
                <w:color w:val="000000" w:themeColor="text1"/>
                <w:szCs w:val="21"/>
                <w:lang w:eastAsia="zh-CN"/>
                <w14:textFill>
                  <w14:solidFill>
                    <w14:schemeClr w14:val="tx1"/>
                  </w14:solidFill>
                </w14:textFill>
              </w:rPr>
            </w:pPr>
            <w:r>
              <w:rPr>
                <w:rFonts w:eastAsia="仿宋_GB2312"/>
                <w:color w:val="000000" w:themeColor="text1"/>
                <w:szCs w:val="21"/>
                <w:lang w:eastAsia="zh-CN"/>
                <w14:textFill>
                  <w14:solidFill>
                    <w14:schemeClr w14:val="tx1"/>
                  </w14:solidFill>
                </w14:textFill>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eastAsia="仿宋_GB2312"/>
                <w:color w:val="000000" w:themeColor="text1"/>
                <w:szCs w:val="21"/>
                <w:lang w:eastAsia="zh-CN"/>
                <w14:textFill>
                  <w14:solidFill>
                    <w14:schemeClr w14:val="tx1"/>
                  </w14:solidFill>
                </w14:textFill>
              </w:rPr>
            </w:pPr>
            <w:r>
              <w:rPr>
                <w:rFonts w:eastAsia="仿宋_GB2312"/>
                <w:color w:val="000000" w:themeColor="text1"/>
                <w:szCs w:val="21"/>
                <w14:textFill>
                  <w14:solidFill>
                    <w14:schemeClr w14:val="tx1"/>
                  </w14:solidFill>
                </w14:textFill>
              </w:rPr>
              <w:t>　</w:t>
            </w:r>
            <w:r>
              <w:rPr>
                <w:rFonts w:hint="eastAsia" w:eastAsia="仿宋_GB2312"/>
                <w:color w:val="000000" w:themeColor="text1"/>
                <w:szCs w:val="21"/>
                <w:lang w:eastAsia="zh-CN"/>
                <w14:textFill>
                  <w14:solidFill>
                    <w14:schemeClr w14:val="tx1"/>
                  </w14:solidFill>
                </w14:textFill>
              </w:rPr>
              <w:t>0</w:t>
            </w:r>
          </w:p>
        </w:tc>
      </w:tr>
    </w:tbl>
    <w:p>
      <w:pPr>
        <w:pStyle w:val="10"/>
        <w:spacing w:line="560" w:lineRule="exact"/>
        <w:ind w:firstLine="643" w:firstLineChars="200"/>
        <w:rPr>
          <w:rFonts w:ascii="黑体" w:hAnsi="黑体" w:eastAsia="黑体" w:cs="黑体"/>
          <w:b/>
          <w:bCs w:val="0"/>
          <w:color w:val="000000" w:themeColor="text1"/>
          <w:sz w:val="32"/>
          <w:szCs w:val="32"/>
          <w:lang w:eastAsia="zh-CN"/>
          <w14:textFill>
            <w14:solidFill>
              <w14:schemeClr w14:val="tx1"/>
            </w14:solidFill>
          </w14:textFill>
        </w:rPr>
      </w:pPr>
      <w:r>
        <w:rPr>
          <w:rFonts w:hint="eastAsia" w:ascii="黑体" w:hAnsi="黑体" w:eastAsia="黑体" w:cs="黑体"/>
          <w:b/>
          <w:bCs w:val="0"/>
          <w:color w:val="000000" w:themeColor="text1"/>
          <w:sz w:val="32"/>
          <w:szCs w:val="32"/>
          <w:lang w:val="en-US" w:eastAsia="zh-CN"/>
          <w14:textFill>
            <w14:solidFill>
              <w14:schemeClr w14:val="tx1"/>
            </w14:solidFill>
          </w14:textFill>
        </w:rPr>
        <w:t>三、</w:t>
      </w:r>
      <w:r>
        <w:rPr>
          <w:rFonts w:hint="eastAsia" w:ascii="黑体" w:hAnsi="黑体" w:eastAsia="黑体" w:cs="黑体"/>
          <w:b/>
          <w:bCs w:val="0"/>
          <w:color w:val="000000" w:themeColor="text1"/>
          <w:sz w:val="32"/>
          <w:szCs w:val="32"/>
          <w14:textFill>
            <w14:solidFill>
              <w14:schemeClr w14:val="tx1"/>
            </w14:solidFill>
          </w14:textFill>
        </w:rPr>
        <w:t>收到和处理政府信息公开申请情况</w:t>
      </w:r>
    </w:p>
    <w:tbl>
      <w:tblPr>
        <w:tblStyle w:val="5"/>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spacing w:line="260" w:lineRule="exact"/>
              <w:jc w:val="center"/>
              <w:rPr>
                <w:rFonts w:eastAsia="楷体_GB2312"/>
                <w:color w:val="000000" w:themeColor="text1"/>
                <w:sz w:val="21"/>
                <w:szCs w:val="21"/>
                <w:lang w:eastAsia="zh-CN" w:bidi="ar-SA"/>
                <w14:textFill>
                  <w14:solidFill>
                    <w14:schemeClr w14:val="tx1"/>
                  </w14:solidFill>
                </w14:textFill>
              </w:rPr>
            </w:pPr>
            <w:r>
              <w:rPr>
                <w:rFonts w:eastAsia="楷体_GB2312"/>
                <w:color w:val="000000" w:themeColor="text1"/>
                <w:sz w:val="21"/>
                <w:szCs w:val="21"/>
                <w:lang w:eastAsia="zh-CN" w:bidi="ar-SA"/>
                <w14:textFill>
                  <w14:solidFill>
                    <w14:schemeClr w14:val="tx1"/>
                  </w14:solidFill>
                </w14:textFill>
              </w:rPr>
              <w:t>（本列数据的勾稽关系为：第一项加第二项之和，</w:t>
            </w:r>
          </w:p>
          <w:p>
            <w:pPr>
              <w:widowControl/>
              <w:spacing w:line="260" w:lineRule="exact"/>
              <w:jc w:val="center"/>
              <w:rPr>
                <w:rFonts w:eastAsia="仿宋_GB2312"/>
                <w:color w:val="000000" w:themeColor="text1"/>
                <w:kern w:val="2"/>
                <w:sz w:val="21"/>
                <w:szCs w:val="21"/>
                <w:lang w:eastAsia="zh-CN" w:bidi="ar-SA"/>
                <w14:textFill>
                  <w14:solidFill>
                    <w14:schemeClr w14:val="tx1"/>
                  </w14:solidFill>
                </w14:textFill>
              </w:rPr>
            </w:pPr>
            <w:r>
              <w:rPr>
                <w:rFonts w:eastAsia="楷体_GB2312"/>
                <w:color w:val="000000" w:themeColor="text1"/>
                <w:sz w:val="21"/>
                <w:szCs w:val="21"/>
                <w:lang w:eastAsia="zh-CN" w:bidi="ar-SA"/>
                <w14:textFill>
                  <w14:solidFill>
                    <w14:schemeClr w14:val="tx1"/>
                  </w14:solidFill>
                </w14:textFill>
              </w:rPr>
              <w:t>等于第三项加第四项之和）</w:t>
            </w:r>
          </w:p>
        </w:tc>
        <w:tc>
          <w:tcPr>
            <w:tcW w:w="4820" w:type="dxa"/>
            <w:gridSpan w:val="7"/>
            <w:shd w:val="clear" w:color="auto" w:fill="auto"/>
            <w:tcMar>
              <w:left w:w="108" w:type="dxa"/>
              <w:right w:w="108" w:type="dxa"/>
            </w:tcMar>
            <w:vAlign w:val="center"/>
          </w:tcPr>
          <w:p>
            <w:pPr>
              <w:widowControl/>
              <w:spacing w:line="260" w:lineRule="exact"/>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widowControl/>
              <w:spacing w:line="260" w:lineRule="exact"/>
              <w:jc w:val="center"/>
              <w:rPr>
                <w:rFonts w:eastAsia="仿宋_GB2312"/>
                <w:color w:val="000000" w:themeColor="text1"/>
                <w:kern w:val="2"/>
                <w:sz w:val="21"/>
                <w:szCs w:val="21"/>
                <w:lang w:eastAsia="zh-CN" w:bidi="ar-SA"/>
                <w14:textFill>
                  <w14:solidFill>
                    <w14:schemeClr w14:val="tx1"/>
                  </w14:solidFill>
                </w14:textFill>
              </w:rPr>
            </w:pPr>
          </w:p>
        </w:tc>
        <w:tc>
          <w:tcPr>
            <w:tcW w:w="829" w:type="dxa"/>
            <w:vMerge w:val="restart"/>
            <w:shd w:val="clear" w:color="auto" w:fill="auto"/>
            <w:tcMar>
              <w:left w:w="108" w:type="dxa"/>
              <w:right w:w="108" w:type="dxa"/>
            </w:tcMar>
            <w:vAlign w:val="center"/>
          </w:tcPr>
          <w:p>
            <w:pPr>
              <w:widowControl/>
              <w:spacing w:line="260" w:lineRule="exact"/>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自然人</w:t>
            </w:r>
          </w:p>
        </w:tc>
        <w:tc>
          <w:tcPr>
            <w:tcW w:w="3140" w:type="dxa"/>
            <w:gridSpan w:val="5"/>
            <w:shd w:val="clear" w:color="auto" w:fill="auto"/>
            <w:tcMar>
              <w:left w:w="108" w:type="dxa"/>
              <w:right w:w="108" w:type="dxa"/>
            </w:tcMar>
            <w:vAlign w:val="center"/>
          </w:tcPr>
          <w:p>
            <w:pPr>
              <w:widowControl/>
              <w:spacing w:line="260" w:lineRule="exact"/>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法人或其他组织</w:t>
            </w:r>
          </w:p>
        </w:tc>
        <w:tc>
          <w:tcPr>
            <w:tcW w:w="851" w:type="dxa"/>
            <w:vMerge w:val="restart"/>
            <w:shd w:val="clear" w:color="auto" w:fill="auto"/>
            <w:tcMar>
              <w:left w:w="108" w:type="dxa"/>
              <w:right w:w="108" w:type="dxa"/>
            </w:tcMar>
            <w:vAlign w:val="center"/>
          </w:tcPr>
          <w:p>
            <w:pPr>
              <w:widowControl/>
              <w:spacing w:line="260" w:lineRule="exact"/>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widowControl/>
              <w:spacing w:line="260" w:lineRule="exact"/>
              <w:jc w:val="center"/>
              <w:rPr>
                <w:rFonts w:eastAsia="仿宋_GB2312"/>
                <w:color w:val="000000" w:themeColor="text1"/>
                <w:kern w:val="2"/>
                <w:sz w:val="21"/>
                <w:szCs w:val="21"/>
                <w:lang w:eastAsia="zh-CN" w:bidi="ar-SA"/>
                <w14:textFill>
                  <w14:solidFill>
                    <w14:schemeClr w14:val="tx1"/>
                  </w14:solidFill>
                </w14:textFill>
              </w:rPr>
            </w:pPr>
          </w:p>
        </w:tc>
        <w:tc>
          <w:tcPr>
            <w:tcW w:w="829" w:type="dxa"/>
            <w:vMerge w:val="continue"/>
            <w:shd w:val="clear" w:color="auto" w:fill="auto"/>
            <w:tcMar>
              <w:left w:w="108" w:type="dxa"/>
              <w:right w:w="108" w:type="dxa"/>
            </w:tcMar>
            <w:vAlign w:val="center"/>
          </w:tcPr>
          <w:p>
            <w:pPr>
              <w:widowControl/>
              <w:spacing w:line="260" w:lineRule="exact"/>
              <w:jc w:val="center"/>
              <w:rPr>
                <w:rFonts w:eastAsia="黑体"/>
                <w:color w:val="000000" w:themeColor="text1"/>
                <w:kern w:val="2"/>
                <w:sz w:val="21"/>
                <w:szCs w:val="21"/>
                <w:lang w:eastAsia="zh-CN" w:bidi="ar-SA"/>
                <w14:textFill>
                  <w14:solidFill>
                    <w14:schemeClr w14:val="tx1"/>
                  </w14:solidFill>
                </w14:textFill>
              </w:rPr>
            </w:pPr>
          </w:p>
        </w:tc>
        <w:tc>
          <w:tcPr>
            <w:tcW w:w="567" w:type="dxa"/>
            <w:shd w:val="clear" w:color="auto" w:fill="auto"/>
            <w:tcMar>
              <w:left w:w="108" w:type="dxa"/>
              <w:right w:w="108" w:type="dxa"/>
            </w:tcMar>
            <w:vAlign w:val="center"/>
          </w:tcPr>
          <w:p>
            <w:pPr>
              <w:widowControl/>
              <w:spacing w:line="260" w:lineRule="exact"/>
              <w:ind w:left="-121" w:leftChars="-51" w:right="-122" w:rightChars="-51" w:hanging="1"/>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商业企业</w:t>
            </w:r>
          </w:p>
        </w:tc>
        <w:tc>
          <w:tcPr>
            <w:tcW w:w="567" w:type="dxa"/>
            <w:shd w:val="clear" w:color="auto" w:fill="auto"/>
            <w:tcMar>
              <w:left w:w="108" w:type="dxa"/>
              <w:right w:w="108" w:type="dxa"/>
            </w:tcMar>
            <w:vAlign w:val="center"/>
          </w:tcPr>
          <w:p>
            <w:pPr>
              <w:widowControl/>
              <w:spacing w:line="260" w:lineRule="exact"/>
              <w:ind w:left="-122" w:leftChars="-51" w:right="-122" w:rightChars="-51"/>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科研机构</w:t>
            </w:r>
          </w:p>
        </w:tc>
        <w:tc>
          <w:tcPr>
            <w:tcW w:w="731" w:type="dxa"/>
            <w:shd w:val="clear" w:color="auto" w:fill="auto"/>
            <w:tcMar>
              <w:left w:w="108" w:type="dxa"/>
              <w:right w:w="108" w:type="dxa"/>
            </w:tcMar>
            <w:vAlign w:val="center"/>
          </w:tcPr>
          <w:p>
            <w:pPr>
              <w:widowControl/>
              <w:spacing w:line="260" w:lineRule="exact"/>
              <w:ind w:left="-122" w:leftChars="-51" w:right="-122" w:rightChars="-51"/>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社会公益组织</w:t>
            </w:r>
          </w:p>
        </w:tc>
        <w:tc>
          <w:tcPr>
            <w:tcW w:w="708" w:type="dxa"/>
            <w:shd w:val="clear" w:color="auto" w:fill="auto"/>
            <w:tcMar>
              <w:left w:w="108" w:type="dxa"/>
              <w:right w:w="108" w:type="dxa"/>
            </w:tcMar>
            <w:vAlign w:val="center"/>
          </w:tcPr>
          <w:p>
            <w:pPr>
              <w:widowControl/>
              <w:spacing w:line="260" w:lineRule="exact"/>
              <w:ind w:left="-121" w:leftChars="-51" w:right="-122" w:rightChars="-51" w:hanging="1"/>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法律服务机构</w:t>
            </w:r>
          </w:p>
        </w:tc>
        <w:tc>
          <w:tcPr>
            <w:tcW w:w="567" w:type="dxa"/>
            <w:shd w:val="clear" w:color="auto" w:fill="auto"/>
            <w:tcMar>
              <w:left w:w="108" w:type="dxa"/>
              <w:right w:w="108" w:type="dxa"/>
            </w:tcMar>
            <w:vAlign w:val="center"/>
          </w:tcPr>
          <w:p>
            <w:pPr>
              <w:widowControl/>
              <w:spacing w:line="260" w:lineRule="exact"/>
              <w:ind w:left="-72" w:leftChars="-30" w:right="-154" w:rightChars="-64"/>
              <w:jc w:val="center"/>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其他</w:t>
            </w:r>
          </w:p>
        </w:tc>
        <w:tc>
          <w:tcPr>
            <w:tcW w:w="851" w:type="dxa"/>
            <w:vMerge w:val="continue"/>
            <w:shd w:val="clear" w:color="auto" w:fill="auto"/>
            <w:tcMar>
              <w:left w:w="108" w:type="dxa"/>
              <w:right w:w="108" w:type="dxa"/>
            </w:tcMar>
            <w:vAlign w:val="center"/>
          </w:tcPr>
          <w:p>
            <w:pPr>
              <w:widowControl/>
              <w:spacing w:line="260" w:lineRule="exact"/>
              <w:jc w:val="center"/>
              <w:rPr>
                <w:rFonts w:eastAsia="仿宋_GB2312"/>
                <w:color w:val="000000" w:themeColor="text1"/>
                <w:kern w:val="2"/>
                <w:sz w:val="21"/>
                <w:szCs w:val="21"/>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一、</w:t>
            </w:r>
            <w:bookmarkStart w:id="0" w:name="_Hlk66973412"/>
            <w:r>
              <w:rPr>
                <w:rFonts w:eastAsia="黑体"/>
                <w:color w:val="000000" w:themeColor="text1"/>
                <w:sz w:val="21"/>
                <w:szCs w:val="21"/>
                <w:lang w:eastAsia="zh-CN" w:bidi="ar-SA"/>
                <w14:textFill>
                  <w14:solidFill>
                    <w14:schemeClr w14:val="tx1"/>
                  </w14:solidFill>
                </w14:textFill>
              </w:rPr>
              <w:t>本年新收政府信息公开申请数量</w:t>
            </w:r>
            <w:bookmarkEnd w:id="0"/>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二、上年结转政府信息公开申请数量</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line="260" w:lineRule="exact"/>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三、本年度办理结果</w:t>
            </w:r>
          </w:p>
        </w:tc>
        <w:tc>
          <w:tcPr>
            <w:tcW w:w="4677" w:type="dxa"/>
            <w:gridSpan w:val="2"/>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（一）予以公开</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4677" w:type="dxa"/>
            <w:gridSpan w:val="2"/>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（二）部分公开（</w:t>
            </w:r>
            <w:bookmarkStart w:id="1" w:name="_Hlk66973981"/>
            <w:r>
              <w:rPr>
                <w:rFonts w:eastAsia="黑体"/>
                <w:color w:val="000000" w:themeColor="text1"/>
                <w:sz w:val="21"/>
                <w:szCs w:val="21"/>
                <w:lang w:eastAsia="zh-CN" w:bidi="ar-SA"/>
                <w14:textFill>
                  <w14:solidFill>
                    <w14:schemeClr w14:val="tx1"/>
                  </w14:solidFill>
                </w14:textFill>
              </w:rPr>
              <w:t>区分处理的，只计这一情形，不计其他情形</w:t>
            </w:r>
            <w:bookmarkEnd w:id="1"/>
            <w:r>
              <w:rPr>
                <w:rFonts w:eastAsia="黑体"/>
                <w:color w:val="000000" w:themeColor="text1"/>
                <w:sz w:val="21"/>
                <w:szCs w:val="21"/>
                <w:lang w:eastAsia="zh-CN" w:bidi="ar-SA"/>
                <w14:textFill>
                  <w14:solidFill>
                    <w14:schemeClr w14:val="tx1"/>
                  </w14:solidFill>
                </w14:textFill>
              </w:rPr>
              <w:t>）</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60" w:lineRule="exact"/>
              <w:ind w:left="-122" w:leftChars="-51"/>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（三）不予公开</w:t>
            </w: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1.属于国家秘密</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2.</w:t>
            </w:r>
            <w:bookmarkStart w:id="2" w:name="_Hlk66974104"/>
            <w:r>
              <w:rPr>
                <w:rFonts w:eastAsia="仿宋_GB2312"/>
                <w:color w:val="000000" w:themeColor="text1"/>
                <w:sz w:val="21"/>
                <w:szCs w:val="21"/>
                <w:lang w:eastAsia="zh-CN" w:bidi="ar-SA"/>
                <w14:textFill>
                  <w14:solidFill>
                    <w14:schemeClr w14:val="tx1"/>
                  </w14:solidFill>
                </w14:textFill>
              </w:rPr>
              <w:t>其他法律行政法规禁止公开</w:t>
            </w:r>
            <w:bookmarkEnd w:id="2"/>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0"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3.危及“三安全一稳定”</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4"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4.</w:t>
            </w:r>
            <w:bookmarkStart w:id="3" w:name="_Hlk66974290"/>
            <w:r>
              <w:rPr>
                <w:rFonts w:eastAsia="仿宋_GB2312"/>
                <w:color w:val="000000" w:themeColor="text1"/>
                <w:sz w:val="21"/>
                <w:szCs w:val="21"/>
                <w:lang w:eastAsia="zh-CN" w:bidi="ar-SA"/>
                <w14:textFill>
                  <w14:solidFill>
                    <w14:schemeClr w14:val="tx1"/>
                  </w14:solidFill>
                </w14:textFill>
              </w:rPr>
              <w:t>保护第三方合法权益</w:t>
            </w:r>
            <w:bookmarkEnd w:id="3"/>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1"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5.属于三类内部事务信息</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8"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6.</w:t>
            </w:r>
            <w:bookmarkStart w:id="4" w:name="_Hlk66974555"/>
            <w:r>
              <w:rPr>
                <w:rFonts w:eastAsia="仿宋_GB2312"/>
                <w:color w:val="000000" w:themeColor="text1"/>
                <w:sz w:val="21"/>
                <w:szCs w:val="21"/>
                <w:lang w:eastAsia="zh-CN" w:bidi="ar-SA"/>
                <w14:textFill>
                  <w14:solidFill>
                    <w14:schemeClr w14:val="tx1"/>
                  </w14:solidFill>
                </w14:textFill>
              </w:rPr>
              <w:t>属于四类过程性信息</w:t>
            </w:r>
            <w:bookmarkEnd w:id="4"/>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7"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7.属于行政执法案卷</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3"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8.</w:t>
            </w:r>
            <w:bookmarkStart w:id="5" w:name="_Hlk66975211"/>
            <w:r>
              <w:rPr>
                <w:rFonts w:eastAsia="仿宋_GB2312"/>
                <w:color w:val="000000" w:themeColor="text1"/>
                <w:sz w:val="21"/>
                <w:szCs w:val="21"/>
                <w:lang w:eastAsia="zh-CN" w:bidi="ar-SA"/>
                <w14:textFill>
                  <w14:solidFill>
                    <w14:schemeClr w14:val="tx1"/>
                  </w14:solidFill>
                </w14:textFill>
              </w:rPr>
              <w:t>属于行政查询事项</w:t>
            </w:r>
            <w:bookmarkEnd w:id="5"/>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60" w:lineRule="exact"/>
              <w:ind w:left="-122" w:leftChars="-51"/>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（四）无法提供</w:t>
            </w: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1.本机关不掌握相关政府信息</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ind w:left="-122" w:leftChars="-51"/>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2.</w:t>
            </w:r>
            <w:bookmarkStart w:id="6" w:name="_Hlk66975392"/>
            <w:r>
              <w:rPr>
                <w:rFonts w:eastAsia="仿宋_GB2312"/>
                <w:color w:val="000000" w:themeColor="text1"/>
                <w:sz w:val="21"/>
                <w:szCs w:val="21"/>
                <w:lang w:eastAsia="zh-CN" w:bidi="ar-SA"/>
                <w14:textFill>
                  <w14:solidFill>
                    <w14:schemeClr w14:val="tx1"/>
                  </w14:solidFill>
                </w14:textFill>
              </w:rPr>
              <w:t>没有现成信息需要另行制作</w:t>
            </w:r>
            <w:bookmarkEnd w:id="6"/>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ind w:left="-122" w:leftChars="-51"/>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3.</w:t>
            </w:r>
            <w:bookmarkStart w:id="7" w:name="_Hlk66975466"/>
            <w:r>
              <w:rPr>
                <w:rFonts w:eastAsia="仿宋_GB2312"/>
                <w:color w:val="000000" w:themeColor="text1"/>
                <w:sz w:val="21"/>
                <w:szCs w:val="21"/>
                <w:lang w:eastAsia="zh-CN" w:bidi="ar-SA"/>
                <w14:textFill>
                  <w14:solidFill>
                    <w14:schemeClr w14:val="tx1"/>
                  </w14:solidFill>
                </w14:textFill>
              </w:rPr>
              <w:t>补正后申请内容仍不明确</w:t>
            </w:r>
            <w:bookmarkEnd w:id="7"/>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4"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60" w:lineRule="exact"/>
              <w:ind w:left="-122" w:leftChars="-51"/>
              <w:jc w:val="both"/>
              <w:rPr>
                <w:rFonts w:eastAsia="黑体"/>
                <w:color w:val="000000" w:themeColor="text1"/>
                <w:kern w:val="2"/>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（五）不予处理</w:t>
            </w: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1.</w:t>
            </w:r>
            <w:bookmarkStart w:id="8" w:name="_Hlk66975537"/>
            <w:r>
              <w:rPr>
                <w:rFonts w:eastAsia="仿宋_GB2312"/>
                <w:color w:val="000000" w:themeColor="text1"/>
                <w:sz w:val="21"/>
                <w:szCs w:val="21"/>
                <w:lang w:eastAsia="zh-CN" w:bidi="ar-SA"/>
                <w14:textFill>
                  <w14:solidFill>
                    <w14:schemeClr w14:val="tx1"/>
                  </w14:solidFill>
                </w14:textFill>
              </w:rPr>
              <w:t>信访举报投诉类申请</w:t>
            </w:r>
            <w:bookmarkEnd w:id="8"/>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8"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2.重复申请</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4"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kern w:val="2"/>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3.要求提供公开出版物</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kern w:val="2"/>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4.无正当理由大量反复申请</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5.要求行政机关确认或重新</w:t>
            </w:r>
          </w:p>
          <w:p>
            <w:pPr>
              <w:widowControl/>
              <w:spacing w:line="260" w:lineRule="exact"/>
              <w:ind w:firstLine="210" w:firstLineChars="100"/>
              <w:jc w:val="both"/>
              <w:rPr>
                <w:rFonts w:eastAsia="仿宋_GB2312"/>
                <w:color w:val="000000" w:themeColor="text1"/>
                <w:kern w:val="2"/>
                <w:sz w:val="21"/>
                <w:szCs w:val="21"/>
                <w:lang w:eastAsia="zh-CN" w:bidi="ar-SA"/>
                <w14:textFill>
                  <w14:solidFill>
                    <w14:schemeClr w14:val="tx1"/>
                  </w14:solidFill>
                </w14:textFill>
              </w:rPr>
            </w:pPr>
            <w:r>
              <w:rPr>
                <w:rFonts w:eastAsia="仿宋_GB2312"/>
                <w:color w:val="000000" w:themeColor="text1"/>
                <w:sz w:val="21"/>
                <w:szCs w:val="21"/>
                <w:lang w:eastAsia="zh-CN" w:bidi="ar-SA"/>
                <w14:textFill>
                  <w14:solidFill>
                    <w14:schemeClr w14:val="tx1"/>
                  </w14:solidFill>
                </w14:textFill>
              </w:rPr>
              <w:t>出具已获取信息</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60" w:lineRule="exact"/>
              <w:jc w:val="both"/>
              <w:rPr>
                <w:rFonts w:eastAsia="黑体"/>
                <w:color w:val="000000" w:themeColor="text1"/>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（六）其他处理</w:t>
            </w:r>
          </w:p>
        </w:tc>
        <w:tc>
          <w:tcPr>
            <w:tcW w:w="2976" w:type="dxa"/>
            <w:shd w:val="clear" w:color="auto" w:fill="auto"/>
            <w:vAlign w:val="center"/>
          </w:tcPr>
          <w:p>
            <w:pPr>
              <w:widowControl/>
              <w:spacing w:line="260" w:lineRule="exact"/>
              <w:jc w:val="both"/>
              <w:rPr>
                <w:rFonts w:eastAsia="仿宋_GB2312"/>
                <w:color w:val="000000" w:themeColor="text1"/>
                <w:kern w:val="2"/>
                <w:sz w:val="21"/>
                <w:szCs w:val="22"/>
                <w:lang w:eastAsia="zh-CN" w:bidi="ar-SA"/>
                <w14:textFill>
                  <w14:solidFill>
                    <w14:schemeClr w14:val="tx1"/>
                  </w14:solidFill>
                </w14:textFill>
              </w:rPr>
            </w:pPr>
            <w:r>
              <w:rPr>
                <w:rFonts w:eastAsia="仿宋_GB2312"/>
                <w:color w:val="000000" w:themeColor="text1"/>
                <w:kern w:val="2"/>
                <w:sz w:val="21"/>
                <w:szCs w:val="22"/>
                <w:lang w:eastAsia="zh-CN" w:bidi="ar-SA"/>
                <w14:textFill>
                  <w14:solidFill>
                    <w14:schemeClr w14:val="tx1"/>
                  </w14:solidFill>
                </w14:textFill>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sz w:val="21"/>
                <w:szCs w:val="21"/>
                <w:lang w:eastAsia="zh-CN" w:bidi="ar-SA"/>
                <w14:textFill>
                  <w14:solidFill>
                    <w14:schemeClr w14:val="tx1"/>
                  </w14:solidFill>
                </w14:textFill>
              </w:rPr>
            </w:pPr>
          </w:p>
        </w:tc>
        <w:tc>
          <w:tcPr>
            <w:tcW w:w="2976" w:type="dxa"/>
            <w:shd w:val="clear" w:color="auto" w:fill="auto"/>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kern w:val="2"/>
                <w:sz w:val="21"/>
                <w:szCs w:val="22"/>
                <w:lang w:eastAsia="zh-CN" w:bidi="ar-SA"/>
                <w14:textFill>
                  <w14:solidFill>
                    <w14:schemeClr w14:val="tx1"/>
                  </w14:solidFill>
                </w14:textFill>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sz w:val="21"/>
                <w:szCs w:val="21"/>
                <w:lang w:eastAsia="zh-CN" w:bidi="ar-SA"/>
                <w14:textFill>
                  <w14:solidFill>
                    <w14:schemeClr w14:val="tx1"/>
                  </w14:solidFill>
                </w14:textFill>
              </w:rPr>
            </w:pPr>
          </w:p>
        </w:tc>
        <w:tc>
          <w:tcPr>
            <w:tcW w:w="2976" w:type="dxa"/>
            <w:shd w:val="clear" w:color="auto" w:fill="auto"/>
            <w:vAlign w:val="center"/>
          </w:tcPr>
          <w:p>
            <w:pPr>
              <w:widowControl/>
              <w:spacing w:line="260" w:lineRule="exact"/>
              <w:jc w:val="both"/>
              <w:rPr>
                <w:rFonts w:eastAsia="仿宋_GB2312"/>
                <w:color w:val="000000" w:themeColor="text1"/>
                <w:sz w:val="21"/>
                <w:szCs w:val="21"/>
                <w:lang w:eastAsia="zh-CN" w:bidi="ar-SA"/>
                <w14:textFill>
                  <w14:solidFill>
                    <w14:schemeClr w14:val="tx1"/>
                  </w14:solidFill>
                </w14:textFill>
              </w:rPr>
            </w:pPr>
            <w:r>
              <w:rPr>
                <w:rFonts w:eastAsia="仿宋_GB2312"/>
                <w:color w:val="000000" w:themeColor="text1"/>
                <w:kern w:val="2"/>
                <w:sz w:val="21"/>
                <w:szCs w:val="22"/>
                <w:lang w:eastAsia="zh-CN" w:bidi="ar-SA"/>
                <w14:textFill>
                  <w14:solidFill>
                    <w14:schemeClr w14:val="tx1"/>
                  </w14:solidFill>
                </w14:textFill>
              </w:rPr>
              <w:t>3.其他</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416" w:type="dxa"/>
            <w:vMerge w:val="continue"/>
            <w:shd w:val="clear" w:color="auto" w:fill="auto"/>
            <w:tcMar>
              <w:left w:w="108" w:type="dxa"/>
              <w:right w:w="108" w:type="dxa"/>
            </w:tcMar>
            <w:vAlign w:val="center"/>
          </w:tcPr>
          <w:p>
            <w:pPr>
              <w:widowControl/>
              <w:spacing w:line="260" w:lineRule="exact"/>
              <w:jc w:val="both"/>
              <w:rPr>
                <w:rFonts w:eastAsia="黑体"/>
                <w:color w:val="000000" w:themeColor="text1"/>
                <w:kern w:val="2"/>
                <w:sz w:val="21"/>
                <w:szCs w:val="21"/>
                <w:lang w:eastAsia="zh-CN" w:bidi="ar-SA"/>
                <w14:textFill>
                  <w14:solidFill>
                    <w14:schemeClr w14:val="tx1"/>
                  </w14:solidFill>
                </w14:textFill>
              </w:rPr>
            </w:pPr>
          </w:p>
        </w:tc>
        <w:tc>
          <w:tcPr>
            <w:tcW w:w="4677" w:type="dxa"/>
            <w:gridSpan w:val="2"/>
            <w:shd w:val="clear" w:color="auto" w:fill="auto"/>
            <w:tcMar>
              <w:left w:w="108" w:type="dxa"/>
              <w:right w:w="108" w:type="dxa"/>
            </w:tcMar>
            <w:vAlign w:val="center"/>
          </w:tcPr>
          <w:p>
            <w:pPr>
              <w:widowControl/>
              <w:spacing w:line="260" w:lineRule="exact"/>
              <w:jc w:val="both"/>
              <w:rPr>
                <w:rFonts w:eastAsia="黑体"/>
                <w:color w:val="000000" w:themeColor="text1"/>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（七）总计</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260" w:lineRule="exact"/>
              <w:jc w:val="both"/>
              <w:rPr>
                <w:rFonts w:eastAsia="黑体"/>
                <w:color w:val="000000" w:themeColor="text1"/>
                <w:sz w:val="21"/>
                <w:szCs w:val="21"/>
                <w:lang w:eastAsia="zh-CN" w:bidi="ar-SA"/>
                <w14:textFill>
                  <w14:solidFill>
                    <w14:schemeClr w14:val="tx1"/>
                  </w14:solidFill>
                </w14:textFill>
              </w:rPr>
            </w:pPr>
            <w:r>
              <w:rPr>
                <w:rFonts w:eastAsia="黑体"/>
                <w:color w:val="000000" w:themeColor="text1"/>
                <w:sz w:val="21"/>
                <w:szCs w:val="21"/>
                <w:lang w:eastAsia="zh-CN" w:bidi="ar-SA"/>
                <w14:textFill>
                  <w14:solidFill>
                    <w14:schemeClr w14:val="tx1"/>
                  </w14:solidFill>
                </w14:textFill>
              </w:rPr>
              <w:t>四、结转下年度继续办理</w:t>
            </w:r>
          </w:p>
        </w:tc>
        <w:tc>
          <w:tcPr>
            <w:tcW w:w="829"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line="260" w:lineRule="exact"/>
              <w:jc w:val="center"/>
              <w:rPr>
                <w:rFonts w:eastAsia="仿宋_GB2312"/>
                <w:color w:val="000000" w:themeColor="text1"/>
                <w:kern w:val="2"/>
                <w:sz w:val="21"/>
                <w:szCs w:val="21"/>
                <w:lang w:eastAsia="zh-CN" w:bidi="ar-SA"/>
                <w14:textFill>
                  <w14:solidFill>
                    <w14:schemeClr w14:val="tx1"/>
                  </w14:solidFill>
                </w14:textFill>
              </w:rPr>
            </w:pPr>
            <w:r>
              <w:rPr>
                <w:rFonts w:hint="eastAsia" w:eastAsia="仿宋_GB2312"/>
                <w:color w:val="000000" w:themeColor="text1"/>
                <w:kern w:val="2"/>
                <w:sz w:val="21"/>
                <w:szCs w:val="21"/>
                <w:lang w:eastAsia="zh-CN" w:bidi="ar-SA"/>
                <w14:textFill>
                  <w14:solidFill>
                    <w14:schemeClr w14:val="tx1"/>
                  </w14:solidFill>
                </w14:textFill>
              </w:rPr>
              <w:t>0</w:t>
            </w:r>
          </w:p>
        </w:tc>
      </w:tr>
    </w:tbl>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bCs w:val="0"/>
          <w:color w:val="000000" w:themeColor="text1"/>
          <w:sz w:val="32"/>
          <w:szCs w:val="32"/>
          <w14:textFill>
            <w14:solidFill>
              <w14:schemeClr w14:val="tx1"/>
            </w14:solidFill>
          </w14:textFill>
        </w:rPr>
      </w:pPr>
      <w:r>
        <w:rPr>
          <w:rFonts w:hint="eastAsia" w:ascii="Times New Roman" w:hAnsi="Times New Roman" w:eastAsia="黑体" w:cs="Times New Roman"/>
          <w:b/>
          <w:bCs w:val="0"/>
          <w:color w:val="000000" w:themeColor="text1"/>
          <w:sz w:val="32"/>
          <w:szCs w:val="32"/>
          <w:lang w:val="en-US" w:eastAsia="zh-CN"/>
          <w14:textFill>
            <w14:solidFill>
              <w14:schemeClr w14:val="tx1"/>
            </w14:solidFill>
          </w14:textFill>
        </w:rPr>
        <w:t>四、</w:t>
      </w:r>
      <w:r>
        <w:rPr>
          <w:rFonts w:ascii="Times New Roman" w:hAnsi="Times New Roman" w:eastAsia="黑体" w:cs="Times New Roman"/>
          <w:b/>
          <w:bCs w:val="0"/>
          <w:color w:val="000000" w:themeColor="text1"/>
          <w:sz w:val="32"/>
          <w:szCs w:val="32"/>
          <w14:textFill>
            <w14:solidFill>
              <w14:schemeClr w14:val="tx1"/>
            </w14:solidFill>
          </w14:textFill>
        </w:rPr>
        <w:t>政府信息公开行政复议、行政诉讼情况</w:t>
      </w:r>
    </w:p>
    <w:tbl>
      <w:tblPr>
        <w:tblStyle w:val="5"/>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629" w:type="dxa"/>
            <w:vMerge w:val="restart"/>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624" w:type="dxa"/>
            <w:vMerge w:val="restart"/>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624" w:type="dxa"/>
            <w:vMerge w:val="restart"/>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9"/>
              <w:spacing w:before="0" w:line="44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c>
          <w:tcPr>
            <w:tcW w:w="2827" w:type="dxa"/>
            <w:gridSpan w:val="5"/>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spacing w:line="440" w:lineRule="exact"/>
              <w:rPr>
                <w:color w:val="000000" w:themeColor="text1"/>
                <w14:textFill>
                  <w14:solidFill>
                    <w14:schemeClr w14:val="tx1"/>
                  </w14:solidFill>
                </w14:textFill>
              </w:rPr>
            </w:pPr>
          </w:p>
        </w:tc>
        <w:tc>
          <w:tcPr>
            <w:tcW w:w="629" w:type="dxa"/>
            <w:vMerge w:val="continue"/>
            <w:tcBorders>
              <w:left w:val="single" w:color="auto" w:sz="4" w:space="0"/>
            </w:tcBorders>
            <w:shd w:val="clear" w:color="auto" w:fill="FFFFFF"/>
            <w:vAlign w:val="center"/>
          </w:tcPr>
          <w:p>
            <w:pPr>
              <w:spacing w:line="440" w:lineRule="exact"/>
              <w:rPr>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spacing w:line="440" w:lineRule="exact"/>
              <w:rPr>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spacing w:line="440" w:lineRule="exact"/>
              <w:rPr>
                <w:color w:val="000000" w:themeColor="text1"/>
                <w14:textFill>
                  <w14:solidFill>
                    <w14:schemeClr w14:val="tx1"/>
                  </w14:solidFill>
                </w14:textFill>
              </w:rPr>
            </w:pPr>
          </w:p>
        </w:tc>
        <w:tc>
          <w:tcPr>
            <w:tcW w:w="562" w:type="dxa"/>
            <w:vMerge w:val="continue"/>
            <w:tcBorders>
              <w:left w:val="single" w:color="auto" w:sz="4" w:space="0"/>
            </w:tcBorders>
            <w:shd w:val="clear" w:color="auto" w:fill="FFFFFF"/>
            <w:textDirection w:val="tbRlV"/>
            <w:vAlign w:val="bottom"/>
          </w:tcPr>
          <w:p>
            <w:pPr>
              <w:spacing w:line="440" w:lineRule="exact"/>
              <w:rPr>
                <w:color w:val="000000" w:themeColor="text1"/>
                <w14:textFill>
                  <w14:solidFill>
                    <w14:schemeClr w14:val="tx1"/>
                  </w14:solidFill>
                </w14:textFill>
              </w:rPr>
            </w:pPr>
          </w:p>
        </w:tc>
        <w:tc>
          <w:tcPr>
            <w:tcW w:w="562"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66" w:type="dxa"/>
            <w:tcBorders>
              <w:top w:val="single" w:color="auto" w:sz="4" w:space="0"/>
              <w:left w:val="single" w:color="auto" w:sz="4" w:space="0"/>
            </w:tcBorders>
            <w:shd w:val="clear" w:color="auto" w:fill="FFFFFF"/>
            <w:textDirection w:val="tbRlV"/>
          </w:tcPr>
          <w:p>
            <w:pPr>
              <w:pStyle w:val="9"/>
              <w:spacing w:before="0" w:line="44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c>
          <w:tcPr>
            <w:tcW w:w="562"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pPr>
              <w:pStyle w:val="11"/>
              <w:spacing w:line="440" w:lineRule="exact"/>
              <w:ind w:firstLine="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pPr>
              <w:pStyle w:val="11"/>
              <w:spacing w:line="440" w:lineRule="exact"/>
              <w:ind w:firstLine="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9"/>
              <w:spacing w:before="0" w:line="44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629"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jc w:val="center"/>
              <w:rPr>
                <w:rFonts w:eastAsia="宋体"/>
                <w:color w:val="000000" w:themeColor="text1"/>
                <w:sz w:val="32"/>
                <w:szCs w:val="32"/>
                <w:lang w:eastAsia="zh-CN"/>
                <w14:textFill>
                  <w14:solidFill>
                    <w14:schemeClr w14:val="tx1"/>
                  </w14:solidFill>
                </w14:textFill>
              </w:rPr>
            </w:pPr>
            <w:r>
              <w:rPr>
                <w:rFonts w:eastAsia="宋体"/>
                <w:color w:val="000000" w:themeColor="text1"/>
                <w:sz w:val="32"/>
                <w:szCs w:val="32"/>
                <w:lang w:eastAsia="zh-CN"/>
                <w14:textFill>
                  <w14:solidFill>
                    <w14:schemeClr w14:val="tx1"/>
                  </w14:solidFill>
                </w14:textFill>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eastAsia="黑体"/>
          <w:b/>
          <w:bCs/>
          <w:color w:val="000000" w:themeColor="text1"/>
          <w:sz w:val="32"/>
          <w:szCs w:val="32"/>
          <w:lang w:eastAsia="zh-CN" w:bidi="ar-SA"/>
          <w14:textFill>
            <w14:solidFill>
              <w14:schemeClr w14:val="tx1"/>
            </w14:solidFill>
          </w14:textFill>
        </w:rPr>
      </w:pPr>
      <w:r>
        <w:rPr>
          <w:rFonts w:hint="eastAsia" w:eastAsia="黑体"/>
          <w:b/>
          <w:bCs/>
          <w:color w:val="000000" w:themeColor="text1"/>
          <w:sz w:val="32"/>
          <w:szCs w:val="32"/>
          <w:lang w:val="en-US" w:eastAsia="zh-CN" w:bidi="ar-SA"/>
          <w14:textFill>
            <w14:solidFill>
              <w14:schemeClr w14:val="tx1"/>
            </w14:solidFill>
          </w14:textFill>
        </w:rPr>
        <w:t>五、</w:t>
      </w:r>
      <w:r>
        <w:rPr>
          <w:rFonts w:eastAsia="黑体"/>
          <w:b/>
          <w:bCs/>
          <w:color w:val="000000" w:themeColor="text1"/>
          <w:sz w:val="32"/>
          <w:szCs w:val="32"/>
          <w:lang w:eastAsia="zh-CN" w:bidi="ar-SA"/>
          <w14:textFill>
            <w14:solidFill>
              <w14:schemeClr w14:val="tx1"/>
            </w14:solidFill>
          </w14:textFill>
        </w:rPr>
        <w:t>存在的主要问题及改进情况</w:t>
      </w:r>
    </w:p>
    <w:p>
      <w:pPr>
        <w:pStyle w:val="10"/>
        <w:spacing w:line="560" w:lineRule="exact"/>
        <w:ind w:firstLine="643" w:firstLineChars="200"/>
        <w:rPr>
          <w:rFonts w:ascii="楷体_GB2312" w:hAnsi="楷体_GB2312" w:eastAsia="楷体_GB2312" w:cs="楷体_GB2312"/>
          <w:color w:val="000000" w:themeColor="text1"/>
          <w:sz w:val="32"/>
          <w:szCs w:val="32"/>
          <w:lang w:val="en-US" w:eastAsia="zh-CN" w:bidi="en-US"/>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bidi="ar-SA"/>
          <w14:textFill>
            <w14:solidFill>
              <w14:schemeClr w14:val="tx1"/>
            </w14:solidFill>
          </w14:textFill>
        </w:rPr>
        <w:t>（一）</w:t>
      </w:r>
      <w:r>
        <w:rPr>
          <w:rFonts w:hint="eastAsia" w:ascii="楷体_GB2312" w:hAnsi="楷体_GB2312" w:eastAsia="楷体_GB2312" w:cs="楷体_GB2312"/>
          <w:b/>
          <w:bCs/>
          <w:color w:val="000000" w:themeColor="text1"/>
          <w:sz w:val="32"/>
          <w:szCs w:val="32"/>
          <w:lang w:val="en-US" w:eastAsia="zh-CN" w:bidi="en-US"/>
          <w14:textFill>
            <w14:solidFill>
              <w14:schemeClr w14:val="tx1"/>
            </w14:solidFill>
          </w14:textFill>
        </w:rPr>
        <w:t>2022年存在问题整改情况</w:t>
      </w:r>
    </w:p>
    <w:p>
      <w:pPr>
        <w:pStyle w:val="10"/>
        <w:spacing w:line="560" w:lineRule="exact"/>
        <w:ind w:firstLine="640" w:firstLineChars="200"/>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1.</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强化责任落实。实行“谁主管、谁负责”和“一把手负总责”的责任制度。加强对政务公开工作的组织和协调，把推行政务公开作为党风廉政建设责任制和干部年度考核的一项重要内容，明确目标，严格考核。</w:t>
      </w:r>
    </w:p>
    <w:p>
      <w:pPr>
        <w:pStyle w:val="10"/>
        <w:spacing w:line="560" w:lineRule="exact"/>
        <w:ind w:firstLine="640" w:firstLineChars="200"/>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2.服务中心工作。</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研究和解决政务公开工作中遇到的新情况、新问题，不断总结推广好的经验和做法，进一步推动</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全局</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政务公开工作深入开展</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，进一步提升公开的形式和内容的质量。</w:t>
      </w:r>
    </w:p>
    <w:p>
      <w:pPr>
        <w:autoSpaceDE w:val="0"/>
        <w:autoSpaceDN w:val="0"/>
        <w:adjustRightInd w:val="0"/>
        <w:spacing w:line="560" w:lineRule="exact"/>
        <w:ind w:firstLine="640" w:firstLineChars="200"/>
        <w:jc w:val="both"/>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3.</w:t>
      </w:r>
      <w:r>
        <w:rPr>
          <w:rFonts w:hint="eastAsia" w:eastAsia="仿宋_GB2312"/>
          <w:color w:val="000000" w:themeColor="text1"/>
          <w:sz w:val="32"/>
          <w:szCs w:val="32"/>
          <w:highlight w:val="none"/>
          <w:lang w:eastAsia="zh-CN"/>
          <w14:textFill>
            <w14:solidFill>
              <w14:schemeClr w14:val="tx1"/>
            </w14:solidFill>
          </w14:textFill>
        </w:rPr>
        <w:t>创新公开内容</w:t>
      </w:r>
      <w:r>
        <w:rPr>
          <w:rFonts w:eastAsia="仿宋_GB2312"/>
          <w:color w:val="000000" w:themeColor="text1"/>
          <w:sz w:val="32"/>
          <w:szCs w:val="32"/>
          <w:highlight w:val="none"/>
          <w:lang w:eastAsia="zh-CN"/>
          <w14:textFill>
            <w14:solidFill>
              <w14:schemeClr w14:val="tx1"/>
            </w14:solidFill>
          </w14:textFill>
        </w:rPr>
        <w:t>。在总结以前推行政务公开工作的基础上，进一步加大工作力度，把群众关心、社会关注“热点”和工作的“难点”作为政务公开的重点，使政务公开工作成为一项基本工作的制度</w:t>
      </w:r>
      <w:r>
        <w:rPr>
          <w:rFonts w:hint="eastAsia" w:eastAsia="仿宋_GB2312"/>
          <w:color w:val="000000" w:themeColor="text1"/>
          <w:sz w:val="32"/>
          <w:szCs w:val="32"/>
          <w:highlight w:val="none"/>
          <w:lang w:eastAsia="zh-CN"/>
          <w14:textFill>
            <w14:solidFill>
              <w14:schemeClr w14:val="tx1"/>
            </w14:solidFill>
          </w14:textFill>
        </w:rPr>
        <w:t>，以提高人民群众对政务公开信息的知晓率。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eastAsia="黑体"/>
          <w:color w:val="000000" w:themeColor="text1"/>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bidi="ar-SA"/>
          <w14:textFill>
            <w14:solidFill>
              <w14:schemeClr w14:val="tx1"/>
            </w14:solidFill>
          </w14:textFill>
        </w:rPr>
        <w:t>（二）2023年存在问题</w:t>
      </w:r>
    </w:p>
    <w:p>
      <w:pPr>
        <w:autoSpaceDE w:val="0"/>
        <w:autoSpaceDN w:val="0"/>
        <w:adjustRightInd w:val="0"/>
        <w:spacing w:line="560" w:lineRule="exact"/>
        <w:ind w:firstLine="640" w:firstLineChars="200"/>
        <w:jc w:val="both"/>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lang w:eastAsia="zh-CN"/>
          <w14:textFill>
            <w14:solidFill>
              <w14:schemeClr w14:val="tx1"/>
            </w14:solidFill>
          </w14:textFill>
        </w:rPr>
        <w:t>一是对实行政务公开理解还存在偏差；二是政务公开工作协调，组织不够紧密，工作上还存在不够细致的问题；三是工作不持续，力度尚不够大。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bidi="ar-SA"/>
          <w14:textFill>
            <w14:solidFill>
              <w14:schemeClr w14:val="tx1"/>
            </w14:solidFill>
          </w14:textFill>
        </w:rPr>
        <w:t>（三）改进措施</w:t>
      </w:r>
      <w:r>
        <w:rPr>
          <w:rFonts w:hint="eastAsia" w:ascii="仿宋_GB2312" w:hAnsi="仿宋_GB2312" w:eastAsia="仿宋_GB2312" w:cs="仿宋_GB2312"/>
          <w:b/>
          <w:bCs/>
          <w:color w:val="000000" w:themeColor="text1"/>
          <w:sz w:val="32"/>
          <w:szCs w:val="32"/>
          <w:lang w:eastAsia="zh-CN" w:bidi="ar-SA"/>
          <w14:textFill>
            <w14:solidFill>
              <w14:schemeClr w14:val="tx1"/>
            </w14:solidFill>
          </w14:textFill>
        </w:rPr>
        <w:t>　</w:t>
      </w:r>
    </w:p>
    <w:p>
      <w:pPr>
        <w:pStyle w:val="10"/>
        <w:spacing w:line="560" w:lineRule="exact"/>
        <w:ind w:firstLine="640" w:firstLineChars="200"/>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随着政府信息公开工作的深入开展以及公民法律和维权意识的不断加强，今后市中区医疗保障局将加大主动公开力度，进一步提高信息公开的及时性;进一步梳理完善政府信息公开内容，对原有的政府信息公开目录进行补充完善，保证公开信息的完整性和准确性;加强宣传力度，通过政府门户网站等多种渠道让公众了解。严肃认真对待每一件依申请公开，为群众讲政策、解难题，架设百姓与政府沟通的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b/>
          <w:bCs/>
          <w:color w:val="000000" w:themeColor="text1"/>
          <w:sz w:val="32"/>
          <w:szCs w:val="32"/>
          <w:lang w:eastAsia="zh-CN" w:bidi="zh-TW"/>
          <w14:textFill>
            <w14:solidFill>
              <w14:schemeClr w14:val="tx1"/>
            </w14:solidFill>
          </w14:textFill>
        </w:rPr>
      </w:pPr>
      <w:r>
        <w:rPr>
          <w:rFonts w:hint="eastAsia" w:eastAsia="黑体"/>
          <w:b/>
          <w:bCs/>
          <w:color w:val="000000" w:themeColor="text1"/>
          <w:sz w:val="32"/>
          <w:szCs w:val="32"/>
          <w:lang w:val="en-US" w:eastAsia="zh-CN" w:bidi="zh-TW"/>
          <w14:textFill>
            <w14:solidFill>
              <w14:schemeClr w14:val="tx1"/>
            </w14:solidFill>
          </w14:textFill>
        </w:rPr>
        <w:t>六、</w:t>
      </w:r>
      <w:r>
        <w:rPr>
          <w:rFonts w:eastAsia="黑体"/>
          <w:b/>
          <w:bCs/>
          <w:color w:val="000000" w:themeColor="text1"/>
          <w:sz w:val="32"/>
          <w:szCs w:val="32"/>
          <w:lang w:eastAsia="zh-CN" w:bidi="zh-TW"/>
          <w14:textFill>
            <w14:solidFill>
              <w14:schemeClr w14:val="tx1"/>
            </w14:solidFill>
          </w14:textFill>
        </w:rPr>
        <w:t>其他需要报告的事项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000000" w:themeColor="text1"/>
          <w:sz w:val="32"/>
          <w:szCs w:val="32"/>
          <w:shd w:val="clear" w:color="auto" w:fill="FFFFFF"/>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t>（一）收取信息处理费的情况</w:t>
      </w:r>
    </w:p>
    <w:p>
      <w:pPr>
        <w:pStyle w:val="10"/>
        <w:spacing w:line="560" w:lineRule="exact"/>
        <w:ind w:firstLine="640" w:firstLineChars="200"/>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本年度依申请公开政府信息未收取任何费用。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（二）落实上级年度政务公开工作要点情况</w:t>
      </w:r>
    </w:p>
    <w:p>
      <w:pPr>
        <w:pStyle w:val="10"/>
        <w:spacing w:line="560" w:lineRule="exact"/>
        <w:ind w:firstLine="640" w:firstLineChars="200"/>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严格按照</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上级年度政务公开工作</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要求和任务，积极落实各项政务公开工作，完善医保制度建设，推进医保系统治理能力和治理体系现代化建设，不断提升人民群众在医保领域的满意度、幸福感、安全感。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（三）人大代表建议和政协委员提案办理情况</w:t>
      </w:r>
    </w:p>
    <w:p>
      <w:pPr>
        <w:pStyle w:val="10"/>
        <w:spacing w:line="560" w:lineRule="exact"/>
        <w:ind w:firstLine="640" w:firstLineChars="200"/>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3</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年，市中区</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医疗保障局</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共承办区级人大代表建议</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1</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件，办复率100%；承办区政协委员提案</w:t>
      </w:r>
      <w:r>
        <w:rPr>
          <w:rFonts w:hint="eastAsia"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3</w:t>
      </w:r>
      <w:r>
        <w:rPr>
          <w:rFonts w:ascii="Times New Roman" w:hAnsi="Times New Roman" w:eastAsia="仿宋_GB2312" w:cs="Times New Roman"/>
          <w:color w:val="000000" w:themeColor="text1"/>
          <w:sz w:val="32"/>
          <w:szCs w:val="32"/>
          <w:highlight w:val="none"/>
          <w:lang w:val="en-US" w:eastAsia="zh-CN" w:bidi="en-US"/>
          <w14:textFill>
            <w14:solidFill>
              <w14:schemeClr w14:val="tx1"/>
            </w14:solidFill>
          </w14:textFill>
        </w:rPr>
        <w:t>件，办复率100%。</w:t>
      </w:r>
    </w:p>
    <w:p>
      <w:pPr>
        <w:pStyle w:val="10"/>
        <w:spacing w:line="560" w:lineRule="exact"/>
        <w:ind w:firstLine="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p>
    <w:p>
      <w:pPr>
        <w:pStyle w:val="10"/>
        <w:spacing w:line="560" w:lineRule="exact"/>
        <w:ind w:firstLine="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p>
    <w:p>
      <w:pPr>
        <w:pStyle w:val="10"/>
        <w:spacing w:line="560" w:lineRule="exact"/>
        <w:ind w:firstLine="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p>
    <w:p>
      <w:pPr>
        <w:pStyle w:val="10"/>
        <w:spacing w:line="560" w:lineRule="exact"/>
        <w:ind w:firstLine="640" w:firstLineChars="200"/>
        <w:jc w:val="right"/>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bookmarkStart w:id="9" w:name="_GoBack"/>
      <w:bookmarkEnd w:id="9"/>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市中区医疗保障局</w:t>
      </w:r>
    </w:p>
    <w:p>
      <w:pPr>
        <w:pStyle w:val="10"/>
        <w:spacing w:line="560" w:lineRule="exact"/>
        <w:ind w:firstLine="640" w:firstLineChars="200"/>
        <w:jc w:val="center"/>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bidi="en-US"/>
          <w14:textFill>
            <w14:solidFill>
              <w14:schemeClr w14:val="tx1"/>
            </w14:solidFill>
          </w14:textFill>
        </w:rPr>
        <w:t xml:space="preserve">                          </w:t>
      </w: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bidi="en-US"/>
          <w14:textFill>
            <w14:solidFill>
              <w14:schemeClr w14:val="tx1"/>
            </w14:solidFill>
          </w14:textFill>
        </w:rPr>
        <w:t>4</w:t>
      </w: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年1月</w:t>
      </w:r>
      <w:r>
        <w:rPr>
          <w:rFonts w:hint="eastAsia" w:ascii="Times New Roman" w:hAnsi="Times New Roman" w:eastAsia="仿宋_GB2312" w:cs="Times New Roman"/>
          <w:color w:val="000000" w:themeColor="text1"/>
          <w:sz w:val="32"/>
          <w:szCs w:val="32"/>
          <w:lang w:val="en-US" w:eastAsia="zh-CN" w:bidi="en-US"/>
          <w14:textFill>
            <w14:solidFill>
              <w14:schemeClr w14:val="tx1"/>
            </w14:solidFill>
          </w14:textFill>
        </w:rPr>
        <w:t>15</w:t>
      </w: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F5E5TFAQAAbQMAAA4AAAAAAAAAAQAgAAAAHgEAAGRycy9lMm9Eb2MueG1s&#10;UEsFBgAAAAAGAAYAWQEAAFUFAAAAAA==&#10;">
              <v:fill on="f" focussize="0,0"/>
              <v:stroke on="f"/>
              <v:imagedata o:title=""/>
              <o:lock v:ext="edit" aspectratio="f"/>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hZTg4NmQ3ZDZkMWRjODJlZjQ4MDQxNWI3ZDM0MWEifQ=="/>
  </w:docVars>
  <w:rsids>
    <w:rsidRoot w:val="00112B69"/>
    <w:rsid w:val="000201D6"/>
    <w:rsid w:val="00037B9F"/>
    <w:rsid w:val="00062453"/>
    <w:rsid w:val="00081823"/>
    <w:rsid w:val="00112B69"/>
    <w:rsid w:val="00191122"/>
    <w:rsid w:val="001E2ECF"/>
    <w:rsid w:val="00367F0B"/>
    <w:rsid w:val="00451B73"/>
    <w:rsid w:val="005A70FF"/>
    <w:rsid w:val="005D12CE"/>
    <w:rsid w:val="005D279F"/>
    <w:rsid w:val="007E288D"/>
    <w:rsid w:val="00881235"/>
    <w:rsid w:val="00B03096"/>
    <w:rsid w:val="00B555B1"/>
    <w:rsid w:val="00D31A81"/>
    <w:rsid w:val="00E454F6"/>
    <w:rsid w:val="00F0539A"/>
    <w:rsid w:val="021D046B"/>
    <w:rsid w:val="025E0CC2"/>
    <w:rsid w:val="03AE7B7A"/>
    <w:rsid w:val="06093D76"/>
    <w:rsid w:val="0A3E1141"/>
    <w:rsid w:val="0B8F2AB2"/>
    <w:rsid w:val="0C0A7D34"/>
    <w:rsid w:val="0DB7343A"/>
    <w:rsid w:val="0F00541F"/>
    <w:rsid w:val="101A475B"/>
    <w:rsid w:val="15FB6447"/>
    <w:rsid w:val="1A2067E1"/>
    <w:rsid w:val="1AAF71B2"/>
    <w:rsid w:val="1D276D79"/>
    <w:rsid w:val="1DC53412"/>
    <w:rsid w:val="2007106B"/>
    <w:rsid w:val="243C7DCF"/>
    <w:rsid w:val="247A32BF"/>
    <w:rsid w:val="24B65C7B"/>
    <w:rsid w:val="24EE7D9B"/>
    <w:rsid w:val="251643BC"/>
    <w:rsid w:val="271F6DB2"/>
    <w:rsid w:val="27BD1B7F"/>
    <w:rsid w:val="28BE4FD8"/>
    <w:rsid w:val="2A366FA5"/>
    <w:rsid w:val="2B247393"/>
    <w:rsid w:val="2B7E7F7A"/>
    <w:rsid w:val="2BA47406"/>
    <w:rsid w:val="2BA85A84"/>
    <w:rsid w:val="335A1C97"/>
    <w:rsid w:val="34C27E73"/>
    <w:rsid w:val="372B44B7"/>
    <w:rsid w:val="37DD4F2A"/>
    <w:rsid w:val="38630E69"/>
    <w:rsid w:val="3CA63654"/>
    <w:rsid w:val="40A41DC2"/>
    <w:rsid w:val="41650F8E"/>
    <w:rsid w:val="424E6C95"/>
    <w:rsid w:val="42962A0C"/>
    <w:rsid w:val="45C87BEF"/>
    <w:rsid w:val="4A111CB3"/>
    <w:rsid w:val="4A263FB9"/>
    <w:rsid w:val="4BE16E0F"/>
    <w:rsid w:val="55180399"/>
    <w:rsid w:val="5A557999"/>
    <w:rsid w:val="5A891C07"/>
    <w:rsid w:val="5AE6494C"/>
    <w:rsid w:val="5D4E247E"/>
    <w:rsid w:val="5EA95810"/>
    <w:rsid w:val="5F0D68E3"/>
    <w:rsid w:val="62A02DE5"/>
    <w:rsid w:val="62DF0CAC"/>
    <w:rsid w:val="64490C92"/>
    <w:rsid w:val="668F4233"/>
    <w:rsid w:val="68BC5088"/>
    <w:rsid w:val="6A745C1A"/>
    <w:rsid w:val="71742F46"/>
    <w:rsid w:val="72BB477E"/>
    <w:rsid w:val="743334DA"/>
    <w:rsid w:val="74D3353D"/>
    <w:rsid w:val="754C48A1"/>
    <w:rsid w:val="787119EB"/>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Hyperlink"/>
    <w:basedOn w:val="6"/>
    <w:semiHidden/>
    <w:unhideWhenUsed/>
    <w:qFormat/>
    <w:uiPriority w:val="99"/>
    <w:rPr>
      <w:color w:val="0000FF"/>
      <w:u w:val="single"/>
    </w:rPr>
  </w:style>
  <w:style w:type="paragraph" w:customStyle="1" w:styleId="8">
    <w:name w:val="Header or footer|1"/>
    <w:basedOn w:val="1"/>
    <w:qFormat/>
    <w:uiPriority w:val="0"/>
    <w:rPr>
      <w:sz w:val="26"/>
      <w:szCs w:val="26"/>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qFormat/>
    <w:uiPriority w:val="0"/>
    <w:pPr>
      <w:spacing w:line="442" w:lineRule="auto"/>
      <w:ind w:firstLine="400"/>
    </w:pPr>
    <w:rPr>
      <w:rFonts w:ascii="宋体" w:hAnsi="宋体" w:eastAsia="宋体" w:cs="宋体"/>
      <w:sz w:val="28"/>
      <w:szCs w:val="28"/>
      <w:lang w:val="zh-TW" w:eastAsia="zh-TW" w:bidi="zh-TW"/>
    </w:rPr>
  </w:style>
  <w:style w:type="character" w:customStyle="1" w:styleId="12">
    <w:name w:val="页眉 字符"/>
    <w:basedOn w:val="6"/>
    <w:link w:val="3"/>
    <w:qFormat/>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2975</Words>
  <Characters>3173</Characters>
  <Lines>27</Lines>
  <Paragraphs>7</Paragraphs>
  <TotalTime>23</TotalTime>
  <ScaleCrop>false</ScaleCrop>
  <LinksUpToDate>false</LinksUpToDate>
  <CharactersWithSpaces>3225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2023-01-16T08:33:00Z</dcterms:created>
  <dc:creator>p</dc:creator>
  <cp:lastModifiedBy>lirong</cp:lastModifiedBy>
  <cp:lastPrinted>2021-11-02T02:00:00Z</cp:lastPrinted>
  <dcterms:modified xsi:type="dcterms:W3CDTF">2024-01-23T01:52:26Z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BB39C954DE7B45F4AA5F4B4FD34BC839_13</vt:lpwstr>
  </property>
</Properties>
</file>