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市中区科学技术局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3</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如对本报告有疑问，可与市中区科学技术局联系（地址:</w:t>
      </w:r>
      <w:r>
        <w:rPr>
          <w:rFonts w:hint="default" w:ascii="Times New Roman" w:hAnsi="Times New Roman" w:eastAsia="仿宋_GB2312" w:cs="Times New Roman"/>
          <w:color w:val="auto"/>
          <w:sz w:val="32"/>
          <w:szCs w:val="32"/>
          <w:shd w:val="clear" w:color="auto" w:fill="FFFFFF"/>
          <w:lang w:val="en-US" w:eastAsia="zh-CN"/>
        </w:rPr>
        <w:t>枣庄市市中区君山中路 321 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0632-3083197，电子邮箱： szqkxjsjadmin@zz.shandong.cn）</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黑体"/>
          <w:b/>
          <w:bCs/>
          <w:color w:val="auto"/>
          <w:sz w:val="32"/>
          <w:szCs w:val="32"/>
          <w:shd w:val="clear" w:color="auto" w:fill="FFFFFF"/>
          <w:lang w:eastAsia="zh-CN"/>
        </w:rPr>
      </w:pPr>
      <w:r>
        <w:rPr>
          <w:rFonts w:hint="eastAsia" w:eastAsia="黑体"/>
          <w:b/>
          <w:bCs/>
          <w:color w:val="auto"/>
          <w:sz w:val="32"/>
          <w:szCs w:val="32"/>
          <w:shd w:val="clear" w:color="auto" w:fill="FFFFFF"/>
          <w:lang w:val="en-US" w:eastAsia="zh-CN"/>
        </w:rPr>
        <w:t>一、</w:t>
      </w:r>
      <w:r>
        <w:rPr>
          <w:rFonts w:hAnsi="黑体" w:eastAsia="黑体"/>
          <w:b/>
          <w:bCs/>
          <w:color w:val="auto"/>
          <w:sz w:val="32"/>
          <w:szCs w:val="32"/>
          <w:shd w:val="clear" w:color="auto" w:fill="FFFFFF"/>
          <w:lang w:eastAsia="zh-CN"/>
        </w:rPr>
        <w:t>总体情况</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w:t>
      </w:r>
      <w:r>
        <w:rPr>
          <w:rFonts w:hint="eastAsia" w:ascii="Times New Roman" w:hAnsi="Times New Roman" w:eastAsia="仿宋_GB2312" w:cs="Times New Roman"/>
          <w:b w:val="0"/>
          <w:bCs w:val="0"/>
          <w:color w:val="auto"/>
          <w:kern w:val="0"/>
          <w:sz w:val="32"/>
          <w:szCs w:val="32"/>
          <w:shd w:val="clear" w:color="auto" w:fill="FFFFFF"/>
          <w:lang w:val="en-US" w:eastAsia="zh-CN" w:bidi="en-US"/>
        </w:rPr>
        <w:t>3</w:t>
      </w:r>
      <w:r>
        <w:rPr>
          <w:rFonts w:hint="default" w:ascii="Times New Roman" w:hAnsi="Times New Roman" w:eastAsia="仿宋_GB2312" w:cs="Times New Roman"/>
          <w:b w:val="0"/>
          <w:bCs w:val="0"/>
          <w:color w:val="auto"/>
          <w:kern w:val="0"/>
          <w:sz w:val="32"/>
          <w:szCs w:val="32"/>
          <w:shd w:val="clear" w:color="auto" w:fill="FFFFFF"/>
          <w:lang w:val="en-US" w:eastAsia="zh-CN" w:bidi="en-US"/>
        </w:rPr>
        <w:t>年，区科学技术</w:t>
      </w:r>
      <w:r>
        <w:rPr>
          <w:rFonts w:hint="eastAsia" w:ascii="Times New Roman" w:hAnsi="Times New Roman" w:eastAsia="仿宋_GB2312" w:cs="Times New Roman"/>
          <w:b w:val="0"/>
          <w:bCs w:val="0"/>
          <w:color w:val="auto"/>
          <w:kern w:val="0"/>
          <w:sz w:val="32"/>
          <w:szCs w:val="32"/>
          <w:shd w:val="clear" w:color="auto" w:fill="FFFFFF"/>
          <w:lang w:val="en-US" w:eastAsia="zh-CN" w:bidi="en-US"/>
        </w:rPr>
        <w:t>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主动公开</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eastAsia" w:ascii="Times New Roman" w:hAnsi="Times New Roman" w:eastAsia="仿宋_GB2312" w:cs="Times New Roman"/>
          <w:b w:val="0"/>
          <w:bCs w:val="0"/>
          <w:color w:val="auto"/>
          <w:kern w:val="0"/>
          <w:sz w:val="32"/>
          <w:szCs w:val="32"/>
          <w:shd w:val="clear" w:color="auto" w:fill="FFFFFF"/>
          <w:lang w:val="en-US" w:eastAsia="zh-CN" w:bidi="en-US"/>
        </w:rPr>
        <w:t>2023年，我局主动公开信息38条，均在区政府门户网站公开</w:t>
      </w:r>
      <w:r>
        <w:rPr>
          <w:rFonts w:hint="default" w:ascii="Times New Roman" w:hAnsi="Times New Roman" w:eastAsia="仿宋_GB2312" w:cs="Times New Roman"/>
          <w:b w:val="0"/>
          <w:bCs w:val="0"/>
          <w:color w:val="auto"/>
          <w:kern w:val="0"/>
          <w:sz w:val="32"/>
          <w:szCs w:val="32"/>
          <w:shd w:val="clear" w:color="auto" w:fill="FFFFFF"/>
          <w:lang w:val="en-US" w:eastAsia="zh-CN" w:bidi="en-US"/>
        </w:rPr>
        <w:t>，完善更新了领导班子分工情况及主要负责人</w:t>
      </w:r>
      <w:r>
        <w:rPr>
          <w:rFonts w:hint="eastAsia" w:ascii="Times New Roman" w:hAnsi="Times New Roman" w:eastAsia="仿宋_GB2312" w:cs="Times New Roman"/>
          <w:b w:val="0"/>
          <w:bCs w:val="0"/>
          <w:color w:val="auto"/>
          <w:kern w:val="0"/>
          <w:sz w:val="32"/>
          <w:szCs w:val="32"/>
          <w:shd w:val="clear" w:color="auto" w:fill="FFFFFF"/>
          <w:lang w:val="en-US" w:eastAsia="zh-CN" w:bidi="en-US"/>
        </w:rPr>
        <w:t>等相关</w:t>
      </w:r>
      <w:r>
        <w:rPr>
          <w:rFonts w:hint="default" w:ascii="Times New Roman" w:hAnsi="Times New Roman" w:eastAsia="仿宋_GB2312" w:cs="Times New Roman"/>
          <w:b w:val="0"/>
          <w:bCs w:val="0"/>
          <w:color w:val="auto"/>
          <w:kern w:val="0"/>
          <w:sz w:val="32"/>
          <w:szCs w:val="32"/>
          <w:shd w:val="clear" w:color="auto" w:fill="FFFFFF"/>
          <w:lang w:val="en-US" w:eastAsia="zh-CN" w:bidi="en-US"/>
        </w:rPr>
        <w:t>信息。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依申请公开</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2023年区</w:t>
      </w:r>
      <w:r>
        <w:rPr>
          <w:rFonts w:hint="eastAsia" w:ascii="Times New Roman" w:hAnsi="Times New Roman" w:cs="Times New Roman"/>
          <w:b w:val="0"/>
          <w:bCs w:val="0"/>
          <w:color w:val="auto"/>
          <w:kern w:val="0"/>
          <w:sz w:val="32"/>
          <w:szCs w:val="32"/>
          <w:shd w:val="clear" w:color="auto" w:fill="FFFFFF"/>
          <w:lang w:val="en-US" w:eastAsia="zh-CN" w:bidi="en-US"/>
        </w:rPr>
        <w:t>科学技术局</w:t>
      </w:r>
      <w:r>
        <w:rPr>
          <w:rFonts w:hint="default" w:ascii="Times New Roman" w:hAnsi="Times New Roman" w:eastAsia="仿宋_GB2312" w:cs="Times New Roman"/>
          <w:b w:val="0"/>
          <w:bCs w:val="0"/>
          <w:color w:val="auto"/>
          <w:kern w:val="0"/>
          <w:sz w:val="32"/>
          <w:szCs w:val="32"/>
          <w:shd w:val="clear" w:color="auto" w:fill="FFFFFF"/>
          <w:lang w:val="en-US" w:eastAsia="zh-CN" w:bidi="en-US"/>
        </w:rPr>
        <w:t>未收到政府信息公开申请，无收费和减免事项，无因信息公开申请而被提起行政复议和行政诉讼情况。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一是调整政务公开工作领导小组，由局长任组长，分管副局长任副组长,明确专人负责政务公开工作，涉及重要信息公开均需审核后方可发布。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shd w:val="clear" w:color="auto" w:fill="FFFFFF"/>
          <w:lang w:eastAsia="zh-CN"/>
        </w:rPr>
        <w:t>二是不断完善公开制度机制。202</w:t>
      </w: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（四）政府信息公开</w:t>
      </w:r>
      <w:r>
        <w:rPr>
          <w:rFonts w:hint="eastAsia" w:ascii="楷体_GB2312" w:hAnsi="楷体_GB2312" w:eastAsia="楷体_GB2312" w:cs="楷体_GB2312"/>
          <w:b/>
          <w:bCs w:val="0"/>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shd w:val="clear" w:color="auto" w:fill="FFFFFF"/>
          <w:lang w:eastAsia="zh-CN"/>
        </w:rPr>
        <w:t>依托“</w:t>
      </w:r>
      <w:r>
        <w:rPr>
          <w:rFonts w:hint="eastAsia" w:ascii="仿宋_GB2312" w:hAnsi="仿宋_GB2312" w:eastAsia="仿宋_GB2312" w:cs="仿宋_GB2312"/>
          <w:color w:val="auto"/>
          <w:sz w:val="32"/>
          <w:szCs w:val="32"/>
          <w:shd w:val="clear" w:color="auto" w:fill="FFFFFF"/>
          <w:lang w:val="en-US" w:eastAsia="zh-CN"/>
        </w:rPr>
        <w:t>枣庄市市中区人民政府</w:t>
      </w:r>
      <w:r>
        <w:rPr>
          <w:rFonts w:hint="eastAsia" w:ascii="仿宋_GB2312" w:hAnsi="仿宋_GB2312" w:eastAsia="仿宋_GB2312" w:cs="仿宋_GB2312"/>
          <w:color w:val="auto"/>
          <w:sz w:val="32"/>
          <w:szCs w:val="32"/>
          <w:shd w:val="clear" w:color="auto" w:fill="FFFFFF"/>
          <w:lang w:eastAsia="zh-CN"/>
        </w:rPr>
        <w:t>网站”“幸福微市中”</w:t>
      </w:r>
      <w:r>
        <w:rPr>
          <w:rFonts w:hint="eastAsia" w:ascii="仿宋_GB2312" w:hAnsi="仿宋_GB2312" w:eastAsia="仿宋_GB2312" w:cs="仿宋_GB2312"/>
          <w:color w:val="auto"/>
          <w:sz w:val="32"/>
          <w:szCs w:val="32"/>
          <w:shd w:val="clear" w:color="auto" w:fill="FFFFFF"/>
          <w:lang w:val="en-US" w:eastAsia="zh-CN"/>
        </w:rPr>
        <w:t>政务新媒体</w:t>
      </w:r>
      <w:r>
        <w:rPr>
          <w:rFonts w:hint="eastAsia" w:ascii="仿宋_GB2312" w:hAnsi="仿宋_GB2312" w:eastAsia="仿宋_GB2312" w:cs="仿宋_GB2312"/>
          <w:color w:val="auto"/>
          <w:sz w:val="32"/>
          <w:szCs w:val="32"/>
          <w:shd w:val="clear" w:color="auto" w:fill="FFFFFF"/>
          <w:lang w:eastAsia="zh-CN"/>
        </w:rPr>
        <w:t>等平台发布信息，推动政务公开信息向不同群体精准推送，提升群众获取政府信息的便利度和幸福感。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（五）</w:t>
      </w:r>
      <w:r>
        <w:rPr>
          <w:rFonts w:hint="eastAsia" w:ascii="楷体_GB2312" w:hAnsi="楷体_GB2312" w:eastAsia="楷体_GB2312" w:cs="楷体_GB2312"/>
          <w:b/>
          <w:bCs/>
          <w:color w:val="auto"/>
          <w:sz w:val="32"/>
          <w:szCs w:val="32"/>
          <w:lang w:eastAsia="zh-CN" w:bidi="ar-SA"/>
        </w:rPr>
        <w:t>监督保障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根据工作需要和人员变动情况，调整了区科学技术局政务公开工作领导小组，局办公室具体负责政务公开日常工作。</w:t>
      </w:r>
    </w:p>
    <w:p>
      <w:pPr>
        <w:pStyle w:val="12"/>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
          <w:bCs w:val="0"/>
          <w:color w:val="auto"/>
          <w:sz w:val="32"/>
          <w:szCs w:val="32"/>
        </w:rPr>
      </w:pPr>
      <w:r>
        <w:rPr>
          <w:rFonts w:hint="eastAsia" w:ascii="Times New Roman" w:hAnsi="黑体" w:eastAsia="黑体" w:cs="Times New Roman"/>
          <w:b/>
          <w:bCs w:val="0"/>
          <w:color w:val="auto"/>
          <w:sz w:val="32"/>
          <w:szCs w:val="32"/>
          <w:lang w:val="en-US" w:eastAsia="zh-CN"/>
        </w:rPr>
        <w:t>二、</w:t>
      </w:r>
      <w:r>
        <w:rPr>
          <w:rFonts w:ascii="Times New Roman" w:hAnsi="黑体" w:eastAsia="黑体" w:cs="Times New Roman"/>
          <w:b/>
          <w:bCs w:val="0"/>
          <w:color w:val="auto"/>
          <w:sz w:val="32"/>
          <w:szCs w:val="32"/>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top"/>
          </w:tcPr>
          <w:p>
            <w:pPr>
              <w:pStyle w:val="14"/>
              <w:spacing w:before="133"/>
              <w:ind w:left="11" w:leftChars="0"/>
              <w:jc w:val="center"/>
              <w:rPr>
                <w:rFonts w:ascii="仿宋_GB2312" w:hAnsi="宋体" w:eastAsia="仿宋_GB2312" w:cs="宋体"/>
                <w:color w:val="auto"/>
                <w:kern w:val="0"/>
                <w:szCs w:val="21"/>
              </w:rPr>
            </w:pPr>
            <w:r>
              <w:rPr>
                <w:color w:val="auto"/>
                <w:w w:val="100"/>
                <w:sz w:val="22"/>
              </w:rPr>
              <w:t>0</w:t>
            </w:r>
          </w:p>
        </w:tc>
        <w:tc>
          <w:tcPr>
            <w:tcW w:w="2206" w:type="dxa"/>
            <w:tcBorders>
              <w:top w:val="nil"/>
              <w:left w:val="nil"/>
              <w:bottom w:val="single" w:color="auto" w:sz="8" w:space="0"/>
              <w:right w:val="single" w:color="auto" w:sz="8" w:space="0"/>
            </w:tcBorders>
            <w:shd w:val="clear" w:color="auto" w:fill="auto"/>
            <w:vAlign w:val="top"/>
          </w:tcPr>
          <w:p>
            <w:pPr>
              <w:pStyle w:val="14"/>
              <w:spacing w:before="133"/>
              <w:ind w:left="9" w:leftChars="0"/>
              <w:jc w:val="center"/>
              <w:rPr>
                <w:rFonts w:ascii="仿宋_GB2312" w:hAnsi="宋体" w:eastAsia="仿宋_GB2312" w:cs="宋体"/>
                <w:color w:val="auto"/>
                <w:kern w:val="0"/>
                <w:szCs w:val="21"/>
              </w:rPr>
            </w:pPr>
            <w:r>
              <w:rPr>
                <w:color w:val="auto"/>
                <w:w w:val="100"/>
                <w:sz w:val="22"/>
              </w:rPr>
              <w:t>0</w:t>
            </w:r>
          </w:p>
        </w:tc>
        <w:tc>
          <w:tcPr>
            <w:tcW w:w="2206" w:type="dxa"/>
            <w:tcBorders>
              <w:top w:val="nil"/>
              <w:left w:val="nil"/>
              <w:bottom w:val="single" w:color="auto" w:sz="8" w:space="0"/>
              <w:right w:val="single" w:color="auto" w:sz="8" w:space="0"/>
            </w:tcBorders>
            <w:shd w:val="clear" w:color="auto" w:fill="auto"/>
            <w:vAlign w:val="top"/>
          </w:tcPr>
          <w:p>
            <w:pPr>
              <w:pStyle w:val="14"/>
              <w:spacing w:before="133"/>
              <w:ind w:left="9" w:leftChars="0"/>
              <w:jc w:val="center"/>
              <w:rPr>
                <w:rFonts w:ascii="仿宋_GB2312" w:hAnsi="Calibri" w:eastAsia="仿宋_GB2312" w:cs="Calibri"/>
                <w:color w:val="auto"/>
                <w:kern w:val="0"/>
                <w:szCs w:val="21"/>
              </w:rPr>
            </w:pPr>
            <w:r>
              <w:rPr>
                <w:color w:val="auto"/>
                <w:w w:val="100"/>
                <w:sz w:val="22"/>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top"/>
          </w:tcPr>
          <w:p>
            <w:pPr>
              <w:pStyle w:val="14"/>
              <w:spacing w:before="136"/>
              <w:ind w:left="11" w:leftChars="0"/>
              <w:jc w:val="center"/>
              <w:rPr>
                <w:rFonts w:ascii="仿宋_GB2312" w:hAnsi="宋体" w:eastAsia="仿宋_GB2312" w:cs="宋体"/>
                <w:color w:val="auto"/>
                <w:kern w:val="0"/>
                <w:szCs w:val="21"/>
              </w:rPr>
            </w:pPr>
            <w:r>
              <w:rPr>
                <w:color w:val="auto"/>
                <w:w w:val="100"/>
                <w:sz w:val="22"/>
              </w:rPr>
              <w:t>0</w:t>
            </w:r>
          </w:p>
        </w:tc>
        <w:tc>
          <w:tcPr>
            <w:tcW w:w="2206" w:type="dxa"/>
            <w:tcBorders>
              <w:top w:val="nil"/>
              <w:left w:val="nil"/>
              <w:bottom w:val="single" w:color="auto" w:sz="8" w:space="0"/>
              <w:right w:val="single" w:color="auto" w:sz="8" w:space="0"/>
            </w:tcBorders>
            <w:shd w:val="clear" w:color="auto" w:fill="auto"/>
            <w:vAlign w:val="top"/>
          </w:tcPr>
          <w:p>
            <w:pPr>
              <w:pStyle w:val="14"/>
              <w:spacing w:before="136"/>
              <w:ind w:left="9" w:leftChars="0"/>
              <w:jc w:val="center"/>
              <w:rPr>
                <w:rFonts w:ascii="仿宋_GB2312" w:hAnsi="宋体" w:eastAsia="仿宋_GB2312" w:cs="宋体"/>
                <w:color w:val="auto"/>
                <w:kern w:val="0"/>
                <w:szCs w:val="21"/>
              </w:rPr>
            </w:pPr>
            <w:r>
              <w:rPr>
                <w:color w:val="auto"/>
                <w:w w:val="100"/>
                <w:sz w:val="22"/>
              </w:rPr>
              <w:t>0</w:t>
            </w:r>
          </w:p>
        </w:tc>
        <w:tc>
          <w:tcPr>
            <w:tcW w:w="2206" w:type="dxa"/>
            <w:tcBorders>
              <w:top w:val="nil"/>
              <w:left w:val="nil"/>
              <w:bottom w:val="single" w:color="auto" w:sz="8" w:space="0"/>
              <w:right w:val="single" w:color="auto" w:sz="8" w:space="0"/>
            </w:tcBorders>
            <w:shd w:val="clear" w:color="auto" w:fill="auto"/>
            <w:vAlign w:val="top"/>
          </w:tcPr>
          <w:p>
            <w:pPr>
              <w:pStyle w:val="14"/>
              <w:spacing w:before="136"/>
              <w:ind w:left="9" w:leftChars="0"/>
              <w:jc w:val="center"/>
              <w:rPr>
                <w:rFonts w:ascii="仿宋_GB2312" w:hAnsi="Calibri" w:eastAsia="仿宋_GB2312" w:cs="Calibri"/>
                <w:color w:val="auto"/>
                <w:kern w:val="0"/>
                <w:szCs w:val="21"/>
              </w:rPr>
            </w:pPr>
            <w:r>
              <w:rPr>
                <w:color w:val="auto"/>
                <w:w w:val="100"/>
                <w:sz w:val="22"/>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pPr>
        <w:pStyle w:val="12"/>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bCs w:val="0"/>
          <w:color w:val="auto"/>
          <w:sz w:val="32"/>
          <w:szCs w:val="32"/>
          <w:lang w:eastAsia="zh-CN"/>
        </w:rPr>
      </w:pPr>
      <w:r>
        <w:rPr>
          <w:rFonts w:hint="eastAsia" w:ascii="Times New Roman" w:hAnsi="Times New Roman" w:eastAsia="黑体" w:cs="Times New Roman"/>
          <w:b/>
          <w:bCs w:val="0"/>
          <w:color w:val="auto"/>
          <w:sz w:val="32"/>
          <w:szCs w:val="32"/>
          <w:lang w:val="en-US" w:eastAsia="zh-CN"/>
        </w:rPr>
        <w:t>三、</w:t>
      </w:r>
      <w:r>
        <w:rPr>
          <w:rFonts w:ascii="Times New Roman" w:hAnsi="Times New Roman" w:eastAsia="黑体" w:cs="Times New Roman"/>
          <w:b/>
          <w:bCs w:val="0"/>
          <w:color w:val="auto"/>
          <w:sz w:val="32"/>
          <w:szCs w:val="32"/>
        </w:rPr>
        <w:t>收到和处理政府信息公开申请情况</w:t>
      </w:r>
    </w:p>
    <w:tbl>
      <w:tblPr>
        <w:tblStyle w:val="6"/>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color w:val="auto"/>
                <w:kern w:val="0"/>
                <w:sz w:val="21"/>
                <w:szCs w:val="21"/>
                <w:lang w:eastAsia="zh-CN" w:bidi="ar-SA"/>
              </w:rPr>
            </w:pPr>
            <w:r>
              <w:rPr>
                <w:rFonts w:hint="eastAsia" w:ascii="楷体_GB2312" w:hAnsi="黑体" w:eastAsia="楷体_GB2312" w:cs="Times New Roman"/>
                <w:color w:val="auto"/>
                <w:kern w:val="0"/>
                <w:sz w:val="21"/>
                <w:szCs w:val="21"/>
                <w:lang w:eastAsia="zh-CN" w:bidi="ar-SA"/>
              </w:rPr>
              <w:t>（本列数据的勾稽关系为：第一项加第二项之和，</w:t>
            </w:r>
          </w:p>
          <w:p>
            <w:pPr>
              <w:widowControl/>
              <w:jc w:val="center"/>
              <w:rPr>
                <w:rFonts w:ascii="仿宋_GB2312" w:hAnsi="Times New Roman" w:eastAsia="仿宋_GB2312" w:cs="Times New Roman"/>
                <w:color w:val="auto"/>
                <w:kern w:val="2"/>
                <w:sz w:val="21"/>
                <w:szCs w:val="21"/>
                <w:lang w:eastAsia="zh-CN" w:bidi="ar-SA"/>
              </w:rPr>
            </w:pPr>
            <w:r>
              <w:rPr>
                <w:rFonts w:hint="eastAsia" w:ascii="楷体_GB2312" w:hAnsi="黑体" w:eastAsia="楷体_GB2312" w:cs="Times New Roman"/>
                <w:color w:val="auto"/>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color w:val="auto"/>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color w:val="auto"/>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w:t>
            </w:r>
            <w:bookmarkStart w:id="0" w:name="_Hlk66973412"/>
            <w:r>
              <w:rPr>
                <w:rFonts w:hint="eastAsia" w:ascii="黑体" w:hAnsi="黑体" w:eastAsia="黑体" w:cs="Times New Roman"/>
                <w:color w:val="auto"/>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top"/>
          </w:tcPr>
          <w:p>
            <w:pPr>
              <w:pStyle w:val="14"/>
              <w:spacing w:before="17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7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7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7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7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7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7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二、上年结转政府信息公开申请数量</w:t>
            </w:r>
          </w:p>
        </w:tc>
        <w:tc>
          <w:tcPr>
            <w:tcW w:w="829" w:type="dxa"/>
            <w:shd w:val="clear" w:color="auto" w:fill="auto"/>
            <w:tcMar>
              <w:left w:w="108" w:type="dxa"/>
              <w:right w:w="108" w:type="dxa"/>
            </w:tcMar>
            <w:vAlign w:val="top"/>
          </w:tcPr>
          <w:p>
            <w:pPr>
              <w:pStyle w:val="14"/>
              <w:spacing w:before="15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5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5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5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5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5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5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（一）予以公开</w:t>
            </w:r>
          </w:p>
        </w:tc>
        <w:tc>
          <w:tcPr>
            <w:tcW w:w="829" w:type="dxa"/>
            <w:shd w:val="clear" w:color="auto" w:fill="auto"/>
            <w:tcMar>
              <w:left w:w="108" w:type="dxa"/>
              <w:right w:w="108" w:type="dxa"/>
            </w:tcMar>
            <w:vAlign w:val="top"/>
          </w:tcPr>
          <w:p>
            <w:pPr>
              <w:pStyle w:val="14"/>
              <w:spacing w:before="162"/>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62"/>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62"/>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62"/>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62"/>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62"/>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62"/>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（二）部分公开（</w:t>
            </w:r>
            <w:bookmarkStart w:id="1" w:name="_Hlk66973981"/>
            <w:r>
              <w:rPr>
                <w:rFonts w:hint="eastAsia" w:ascii="黑体" w:hAnsi="黑体" w:eastAsia="黑体" w:cs="Times New Roman"/>
                <w:color w:val="auto"/>
                <w:kern w:val="0"/>
                <w:sz w:val="21"/>
                <w:szCs w:val="21"/>
                <w:lang w:eastAsia="zh-CN" w:bidi="ar-SA"/>
              </w:rPr>
              <w:t>区分处理的，只计这一情形，不计其他情形</w:t>
            </w:r>
            <w:bookmarkEnd w:id="1"/>
            <w:r>
              <w:rPr>
                <w:rFonts w:hint="eastAsia" w:ascii="黑体" w:hAnsi="黑体" w:eastAsia="黑体" w:cs="Times New Roman"/>
                <w:color w:val="auto"/>
                <w:kern w:val="0"/>
                <w:sz w:val="21"/>
                <w:szCs w:val="21"/>
                <w:lang w:eastAsia="zh-CN" w:bidi="ar-SA"/>
              </w:rPr>
              <w:t>）</w:t>
            </w:r>
          </w:p>
        </w:tc>
        <w:tc>
          <w:tcPr>
            <w:tcW w:w="829" w:type="dxa"/>
            <w:shd w:val="clear" w:color="auto" w:fill="auto"/>
            <w:tcMar>
              <w:left w:w="108" w:type="dxa"/>
              <w:right w:w="108" w:type="dxa"/>
            </w:tcMar>
            <w:vAlign w:val="top"/>
          </w:tcPr>
          <w:p>
            <w:pPr>
              <w:pStyle w:val="14"/>
              <w:spacing w:before="0"/>
              <w:ind w:left="0"/>
              <w:rPr>
                <w:rFonts w:ascii="黑体"/>
                <w:b/>
                <w:color w:val="auto"/>
                <w:sz w:val="26"/>
              </w:rPr>
            </w:pPr>
          </w:p>
          <w:p>
            <w:pPr>
              <w:pStyle w:val="14"/>
              <w:spacing w:before="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0"/>
              <w:ind w:left="0"/>
              <w:rPr>
                <w:rFonts w:ascii="黑体"/>
                <w:b/>
                <w:color w:val="auto"/>
                <w:sz w:val="26"/>
              </w:rPr>
            </w:pPr>
          </w:p>
          <w:p>
            <w:pPr>
              <w:pStyle w:val="14"/>
              <w:spacing w:before="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0"/>
              <w:ind w:left="0"/>
              <w:rPr>
                <w:rFonts w:ascii="黑体"/>
                <w:b/>
                <w:color w:val="auto"/>
                <w:sz w:val="26"/>
              </w:rPr>
            </w:pPr>
          </w:p>
          <w:p>
            <w:pPr>
              <w:pStyle w:val="14"/>
              <w:spacing w:before="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0"/>
              <w:ind w:left="0"/>
              <w:rPr>
                <w:rFonts w:ascii="黑体"/>
                <w:b/>
                <w:color w:val="auto"/>
                <w:sz w:val="26"/>
              </w:rPr>
            </w:pPr>
          </w:p>
          <w:p>
            <w:pPr>
              <w:pStyle w:val="14"/>
              <w:spacing w:before="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0"/>
              <w:ind w:left="0"/>
              <w:rPr>
                <w:rFonts w:ascii="黑体"/>
                <w:b/>
                <w:color w:val="auto"/>
                <w:sz w:val="26"/>
              </w:rPr>
            </w:pPr>
          </w:p>
          <w:p>
            <w:pPr>
              <w:pStyle w:val="14"/>
              <w:spacing w:before="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0"/>
              <w:ind w:left="0"/>
              <w:rPr>
                <w:rFonts w:ascii="黑体"/>
                <w:b/>
                <w:color w:val="auto"/>
                <w:sz w:val="26"/>
              </w:rPr>
            </w:pPr>
          </w:p>
          <w:p>
            <w:pPr>
              <w:pStyle w:val="14"/>
              <w:spacing w:before="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0"/>
              <w:ind w:left="0"/>
              <w:rPr>
                <w:rFonts w:ascii="黑体"/>
                <w:b/>
                <w:color w:val="auto"/>
                <w:sz w:val="26"/>
              </w:rPr>
            </w:pPr>
          </w:p>
          <w:p>
            <w:pPr>
              <w:pStyle w:val="14"/>
              <w:spacing w:before="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1.属于国家秘密</w:t>
            </w:r>
          </w:p>
        </w:tc>
        <w:tc>
          <w:tcPr>
            <w:tcW w:w="829" w:type="dxa"/>
            <w:shd w:val="clear" w:color="auto" w:fill="auto"/>
            <w:tcMar>
              <w:left w:w="108" w:type="dxa"/>
              <w:right w:w="108" w:type="dxa"/>
            </w:tcMar>
            <w:vAlign w:val="top"/>
          </w:tcPr>
          <w:p>
            <w:pPr>
              <w:pStyle w:val="14"/>
              <w:spacing w:before="95" w:line="241"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95" w:line="241"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95" w:line="241"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95" w:line="241"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95" w:line="241"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95"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95"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2" w:name="_Hlk66974104"/>
            <w:r>
              <w:rPr>
                <w:rFonts w:hint="eastAsia" w:ascii="仿宋_GB2312" w:hAnsi="黑体" w:eastAsia="仿宋_GB2312" w:cs="Times New Roman"/>
                <w:color w:val="auto"/>
                <w:kern w:val="0"/>
                <w:sz w:val="21"/>
                <w:szCs w:val="21"/>
                <w:lang w:eastAsia="zh-CN" w:bidi="ar-SA"/>
              </w:rPr>
              <w:t>其他法律行政法规禁止公开</w:t>
            </w:r>
            <w:bookmarkEnd w:id="2"/>
          </w:p>
        </w:tc>
        <w:tc>
          <w:tcPr>
            <w:tcW w:w="829" w:type="dxa"/>
            <w:shd w:val="clear" w:color="auto" w:fill="auto"/>
            <w:tcMar>
              <w:left w:w="108" w:type="dxa"/>
              <w:right w:w="108" w:type="dxa"/>
            </w:tcMar>
            <w:vAlign w:val="top"/>
          </w:tcPr>
          <w:p>
            <w:pPr>
              <w:pStyle w:val="14"/>
              <w:spacing w:line="237"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37"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37"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3.危及“三安全一稳定”</w:t>
            </w:r>
          </w:p>
        </w:tc>
        <w:tc>
          <w:tcPr>
            <w:tcW w:w="829" w:type="dxa"/>
            <w:shd w:val="clear" w:color="auto" w:fill="auto"/>
            <w:tcMar>
              <w:left w:w="108" w:type="dxa"/>
              <w:right w:w="108" w:type="dxa"/>
            </w:tcMar>
            <w:vAlign w:val="top"/>
          </w:tcPr>
          <w:p>
            <w:pPr>
              <w:pStyle w:val="14"/>
              <w:spacing w:line="241"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1"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1"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41"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41"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4.</w:t>
            </w:r>
            <w:bookmarkStart w:id="3" w:name="_Hlk66974290"/>
            <w:r>
              <w:rPr>
                <w:rFonts w:hint="eastAsia" w:ascii="仿宋_GB2312" w:hAnsi="黑体" w:eastAsia="仿宋_GB2312" w:cs="Times New Roman"/>
                <w:color w:val="auto"/>
                <w:kern w:val="0"/>
                <w:sz w:val="21"/>
                <w:szCs w:val="21"/>
                <w:lang w:eastAsia="zh-CN" w:bidi="ar-SA"/>
              </w:rPr>
              <w:t>保护第三方合法权益</w:t>
            </w:r>
            <w:bookmarkEnd w:id="3"/>
          </w:p>
        </w:tc>
        <w:tc>
          <w:tcPr>
            <w:tcW w:w="829" w:type="dxa"/>
            <w:shd w:val="clear" w:color="auto" w:fill="auto"/>
            <w:tcMar>
              <w:left w:w="108" w:type="dxa"/>
              <w:right w:w="108" w:type="dxa"/>
            </w:tcMar>
            <w:vAlign w:val="top"/>
          </w:tcPr>
          <w:p>
            <w:pPr>
              <w:pStyle w:val="14"/>
              <w:spacing w:line="241"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1"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1"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41"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41"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5.属于三类内部事务信息</w:t>
            </w:r>
          </w:p>
        </w:tc>
        <w:tc>
          <w:tcPr>
            <w:tcW w:w="829" w:type="dxa"/>
            <w:shd w:val="clear" w:color="auto" w:fill="auto"/>
            <w:tcMar>
              <w:left w:w="108" w:type="dxa"/>
              <w:right w:w="108" w:type="dxa"/>
            </w:tcMar>
            <w:vAlign w:val="top"/>
          </w:tcPr>
          <w:p>
            <w:pPr>
              <w:pStyle w:val="14"/>
              <w:spacing w:line="236"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6"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6"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36"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36"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3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6.</w:t>
            </w:r>
            <w:bookmarkStart w:id="4" w:name="_Hlk66974555"/>
            <w:r>
              <w:rPr>
                <w:rFonts w:hint="eastAsia" w:ascii="仿宋_GB2312" w:hAnsi="黑体" w:eastAsia="仿宋_GB2312" w:cs="Times New Roman"/>
                <w:color w:val="auto"/>
                <w:kern w:val="0"/>
                <w:sz w:val="21"/>
                <w:szCs w:val="21"/>
                <w:lang w:eastAsia="zh-CN" w:bidi="ar-SA"/>
              </w:rPr>
              <w:t>属于四类过程性信息</w:t>
            </w:r>
            <w:bookmarkEnd w:id="4"/>
          </w:p>
        </w:tc>
        <w:tc>
          <w:tcPr>
            <w:tcW w:w="829" w:type="dxa"/>
            <w:shd w:val="clear" w:color="auto" w:fill="auto"/>
            <w:tcMar>
              <w:left w:w="108" w:type="dxa"/>
              <w:right w:w="108" w:type="dxa"/>
            </w:tcMar>
            <w:vAlign w:val="top"/>
          </w:tcPr>
          <w:p>
            <w:pPr>
              <w:pStyle w:val="14"/>
              <w:spacing w:line="237"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37"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37"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7.属于行政执法案卷</w:t>
            </w:r>
          </w:p>
        </w:tc>
        <w:tc>
          <w:tcPr>
            <w:tcW w:w="829" w:type="dxa"/>
            <w:shd w:val="clear" w:color="auto" w:fill="auto"/>
            <w:tcMar>
              <w:left w:w="108" w:type="dxa"/>
              <w:right w:w="108" w:type="dxa"/>
            </w:tcMar>
            <w:vAlign w:val="top"/>
          </w:tcPr>
          <w:p>
            <w:pPr>
              <w:pStyle w:val="14"/>
              <w:spacing w:line="246"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6"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6"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46"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46"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4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4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8.</w:t>
            </w:r>
            <w:bookmarkStart w:id="5" w:name="_Hlk66975211"/>
            <w:r>
              <w:rPr>
                <w:rFonts w:hint="eastAsia" w:ascii="仿宋_GB2312" w:hAnsi="黑体" w:eastAsia="仿宋_GB2312" w:cs="Times New Roman"/>
                <w:color w:val="auto"/>
                <w:kern w:val="0"/>
                <w:sz w:val="21"/>
                <w:szCs w:val="21"/>
                <w:lang w:eastAsia="zh-CN" w:bidi="ar-SA"/>
              </w:rPr>
              <w:t>属于行政查询事项</w:t>
            </w:r>
            <w:bookmarkEnd w:id="5"/>
          </w:p>
        </w:tc>
        <w:tc>
          <w:tcPr>
            <w:tcW w:w="829" w:type="dxa"/>
            <w:shd w:val="clear" w:color="auto" w:fill="auto"/>
            <w:tcMar>
              <w:left w:w="108" w:type="dxa"/>
              <w:right w:w="108" w:type="dxa"/>
            </w:tcMar>
            <w:vAlign w:val="top"/>
          </w:tcPr>
          <w:p>
            <w:pPr>
              <w:pStyle w:val="14"/>
              <w:spacing w:line="237"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37"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37"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1.本机关不掌握相关政府信息</w:t>
            </w:r>
          </w:p>
        </w:tc>
        <w:tc>
          <w:tcPr>
            <w:tcW w:w="829" w:type="dxa"/>
            <w:shd w:val="clear" w:color="auto" w:fill="auto"/>
            <w:tcMar>
              <w:left w:w="108" w:type="dxa"/>
              <w:right w:w="108" w:type="dxa"/>
            </w:tcMar>
            <w:vAlign w:val="top"/>
          </w:tcPr>
          <w:p>
            <w:pPr>
              <w:pStyle w:val="14"/>
              <w:spacing w:before="129" w:line="239"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9" w:line="239"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9" w:line="239"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29" w:line="239"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29" w:line="239"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9" w:line="239"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29" w:line="239"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6" w:name="_Hlk66975392"/>
            <w:r>
              <w:rPr>
                <w:rFonts w:hint="eastAsia" w:ascii="仿宋_GB2312" w:hAnsi="黑体" w:eastAsia="仿宋_GB2312" w:cs="Times New Roman"/>
                <w:color w:val="auto"/>
                <w:kern w:val="0"/>
                <w:sz w:val="21"/>
                <w:szCs w:val="21"/>
                <w:lang w:eastAsia="zh-CN" w:bidi="ar-SA"/>
              </w:rPr>
              <w:t>没有现成信息需要另行制作</w:t>
            </w:r>
            <w:bookmarkEnd w:id="6"/>
          </w:p>
        </w:tc>
        <w:tc>
          <w:tcPr>
            <w:tcW w:w="829" w:type="dxa"/>
            <w:shd w:val="clear" w:color="auto" w:fill="auto"/>
            <w:tcMar>
              <w:left w:w="108" w:type="dxa"/>
              <w:right w:w="108" w:type="dxa"/>
            </w:tcMar>
            <w:vAlign w:val="top"/>
          </w:tcPr>
          <w:p>
            <w:pPr>
              <w:pStyle w:val="14"/>
              <w:spacing w:line="237"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37"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37"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w:t>
            </w:r>
            <w:bookmarkStart w:id="7" w:name="_Hlk66975466"/>
            <w:r>
              <w:rPr>
                <w:rFonts w:hint="eastAsia" w:ascii="仿宋_GB2312" w:hAnsi="黑体" w:eastAsia="仿宋_GB2312" w:cs="Times New Roman"/>
                <w:color w:val="auto"/>
                <w:kern w:val="0"/>
                <w:sz w:val="21"/>
                <w:szCs w:val="21"/>
                <w:lang w:eastAsia="zh-CN" w:bidi="ar-SA"/>
              </w:rPr>
              <w:t>补正后申请内容仍不明确</w:t>
            </w:r>
            <w:bookmarkEnd w:id="7"/>
          </w:p>
        </w:tc>
        <w:tc>
          <w:tcPr>
            <w:tcW w:w="829" w:type="dxa"/>
            <w:shd w:val="clear" w:color="auto" w:fill="auto"/>
            <w:tcMar>
              <w:left w:w="108" w:type="dxa"/>
              <w:right w:w="108" w:type="dxa"/>
            </w:tcMar>
            <w:vAlign w:val="top"/>
          </w:tcPr>
          <w:p>
            <w:pPr>
              <w:pStyle w:val="14"/>
              <w:spacing w:before="129" w:line="239"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9" w:line="239"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9" w:line="239"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29" w:line="239"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29" w:line="239"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9" w:line="239"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29" w:line="239"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w:t>
            </w:r>
            <w:bookmarkStart w:id="8" w:name="_Hlk66975537"/>
            <w:r>
              <w:rPr>
                <w:rFonts w:hint="eastAsia" w:ascii="仿宋_GB2312" w:hAnsi="黑体" w:eastAsia="仿宋_GB2312" w:cs="Times New Roman"/>
                <w:color w:val="auto"/>
                <w:kern w:val="0"/>
                <w:sz w:val="21"/>
                <w:szCs w:val="21"/>
                <w:lang w:eastAsia="zh-CN" w:bidi="ar-SA"/>
              </w:rPr>
              <w:t>信访举报投诉类申请</w:t>
            </w:r>
            <w:bookmarkEnd w:id="8"/>
          </w:p>
        </w:tc>
        <w:tc>
          <w:tcPr>
            <w:tcW w:w="829" w:type="dxa"/>
            <w:shd w:val="clear" w:color="auto" w:fill="auto"/>
            <w:tcMar>
              <w:left w:w="108" w:type="dxa"/>
              <w:right w:w="108" w:type="dxa"/>
            </w:tcMar>
            <w:vAlign w:val="top"/>
          </w:tcPr>
          <w:p>
            <w:pPr>
              <w:pStyle w:val="14"/>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2.重复申请</w:t>
            </w:r>
          </w:p>
        </w:tc>
        <w:tc>
          <w:tcPr>
            <w:tcW w:w="829" w:type="dxa"/>
            <w:shd w:val="clear" w:color="auto" w:fill="auto"/>
            <w:tcMar>
              <w:left w:w="108" w:type="dxa"/>
              <w:right w:w="108" w:type="dxa"/>
            </w:tcMar>
            <w:vAlign w:val="top"/>
          </w:tcPr>
          <w:p>
            <w:pPr>
              <w:pStyle w:val="14"/>
              <w:spacing w:before="128"/>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28"/>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28"/>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28"/>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3.要求提供公开出版物</w:t>
            </w:r>
          </w:p>
        </w:tc>
        <w:tc>
          <w:tcPr>
            <w:tcW w:w="829" w:type="dxa"/>
            <w:shd w:val="clear" w:color="auto" w:fill="auto"/>
            <w:tcMar>
              <w:left w:w="108" w:type="dxa"/>
              <w:right w:w="108" w:type="dxa"/>
            </w:tcMar>
            <w:vAlign w:val="top"/>
          </w:tcPr>
          <w:p>
            <w:pPr>
              <w:pStyle w:val="14"/>
              <w:spacing w:line="260"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60"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60"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line="260"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line="260"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line="260"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line="260"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4.无正当理由大量反复申请</w:t>
            </w:r>
          </w:p>
        </w:tc>
        <w:tc>
          <w:tcPr>
            <w:tcW w:w="829" w:type="dxa"/>
            <w:shd w:val="clear" w:color="auto" w:fill="auto"/>
            <w:tcMar>
              <w:left w:w="108" w:type="dxa"/>
              <w:right w:w="108" w:type="dxa"/>
            </w:tcMar>
            <w:vAlign w:val="top"/>
          </w:tcPr>
          <w:p>
            <w:pPr>
              <w:pStyle w:val="14"/>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出具已获取信息</w:t>
            </w:r>
          </w:p>
        </w:tc>
        <w:tc>
          <w:tcPr>
            <w:tcW w:w="829" w:type="dxa"/>
            <w:shd w:val="clear" w:color="auto" w:fill="auto"/>
            <w:tcMar>
              <w:left w:w="108" w:type="dxa"/>
              <w:right w:w="108" w:type="dxa"/>
            </w:tcMar>
            <w:vAlign w:val="top"/>
          </w:tcPr>
          <w:p>
            <w:pPr>
              <w:pStyle w:val="14"/>
              <w:spacing w:before="187"/>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87"/>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87"/>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87"/>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87"/>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87"/>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87"/>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color w:val="auto"/>
                <w:kern w:val="2"/>
                <w:sz w:val="21"/>
                <w:szCs w:val="22"/>
                <w:lang w:eastAsia="zh-CN" w:bidi="ar-SA"/>
              </w:rPr>
            </w:pPr>
            <w:r>
              <w:rPr>
                <w:rFonts w:hint="eastAsia" w:ascii="仿宋_GB2312" w:hAnsi="楷体" w:eastAsia="仿宋_GB2312" w:cs="Times New Roman"/>
                <w:color w:val="auto"/>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top"/>
          </w:tcPr>
          <w:p>
            <w:pPr>
              <w:pStyle w:val="14"/>
              <w:spacing w:before="128" w:line="240"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line="240"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line="240"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28" w:line="240"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28" w:line="240"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line="240"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28" w:line="240"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top"/>
          </w:tcPr>
          <w:p>
            <w:pPr>
              <w:pStyle w:val="14"/>
              <w:spacing w:before="128" w:line="236"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line="236"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line="236"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28" w:line="236"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28" w:line="236"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28" w:line="23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28" w:line="23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3.其他</w:t>
            </w:r>
          </w:p>
        </w:tc>
        <w:tc>
          <w:tcPr>
            <w:tcW w:w="829" w:type="dxa"/>
            <w:shd w:val="clear" w:color="auto" w:fill="auto"/>
            <w:tcMar>
              <w:left w:w="108" w:type="dxa"/>
              <w:right w:w="108" w:type="dxa"/>
            </w:tcMar>
            <w:vAlign w:val="top"/>
          </w:tcPr>
          <w:p>
            <w:pPr>
              <w:pStyle w:val="14"/>
              <w:spacing w:before="135"/>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35"/>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35"/>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35"/>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35"/>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35"/>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35"/>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（七）总计</w:t>
            </w:r>
          </w:p>
        </w:tc>
        <w:tc>
          <w:tcPr>
            <w:tcW w:w="829" w:type="dxa"/>
            <w:shd w:val="clear" w:color="auto" w:fill="auto"/>
            <w:tcMar>
              <w:left w:w="108" w:type="dxa"/>
              <w:right w:w="108" w:type="dxa"/>
            </w:tcMar>
            <w:vAlign w:val="top"/>
          </w:tcPr>
          <w:p>
            <w:pPr>
              <w:pStyle w:val="14"/>
              <w:spacing w:before="17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7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7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7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7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7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7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四、结转下年度继续办理</w:t>
            </w:r>
          </w:p>
        </w:tc>
        <w:tc>
          <w:tcPr>
            <w:tcW w:w="829" w:type="dxa"/>
            <w:shd w:val="clear" w:color="auto" w:fill="auto"/>
            <w:tcMar>
              <w:left w:w="108" w:type="dxa"/>
              <w:right w:w="108" w:type="dxa"/>
            </w:tcMar>
            <w:vAlign w:val="top"/>
          </w:tcPr>
          <w:p>
            <w:pPr>
              <w:pStyle w:val="14"/>
              <w:spacing w:before="15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5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5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pPr>
              <w:pStyle w:val="14"/>
              <w:spacing w:before="15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pPr>
              <w:pStyle w:val="14"/>
              <w:spacing w:before="15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pPr>
              <w:pStyle w:val="14"/>
              <w:spacing w:before="15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pPr>
              <w:pStyle w:val="14"/>
              <w:spacing w:before="15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bl>
    <w:p>
      <w:pPr>
        <w:pStyle w:val="1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6"/>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11"/>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11"/>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11"/>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top"/>
          </w:tcPr>
          <w:p>
            <w:pPr>
              <w:pStyle w:val="14"/>
              <w:spacing w:before="152"/>
              <w:ind w:left="5" w:leftChars="0"/>
              <w:jc w:val="center"/>
              <w:rPr>
                <w:rFonts w:eastAsia="宋体"/>
                <w:color w:val="auto"/>
                <w:sz w:val="32"/>
                <w:szCs w:val="32"/>
                <w:lang w:eastAsia="zh-CN"/>
              </w:rPr>
            </w:pPr>
            <w:r>
              <w:rPr>
                <w:rFonts w:ascii="Times New Roman"/>
                <w:color w:val="auto"/>
                <w:w w:val="99"/>
                <w:sz w:val="32"/>
              </w:rPr>
              <w:t>0</w:t>
            </w:r>
          </w:p>
        </w:tc>
        <w:tc>
          <w:tcPr>
            <w:tcW w:w="629" w:type="dxa"/>
            <w:tcBorders>
              <w:top w:val="single" w:color="auto" w:sz="4" w:space="0"/>
              <w:left w:val="single" w:color="auto" w:sz="4" w:space="0"/>
              <w:bottom w:val="single" w:color="auto" w:sz="4" w:space="0"/>
            </w:tcBorders>
            <w:shd w:val="clear" w:color="auto" w:fill="FFFFFF"/>
            <w:vAlign w:val="top"/>
          </w:tcPr>
          <w:p>
            <w:pPr>
              <w:pStyle w:val="14"/>
              <w:spacing w:before="152"/>
              <w:ind w:left="10" w:leftChars="0"/>
              <w:jc w:val="center"/>
              <w:rPr>
                <w:rFonts w:eastAsia="宋体"/>
                <w:color w:val="auto"/>
                <w:sz w:val="32"/>
                <w:szCs w:val="32"/>
                <w:lang w:eastAsia="zh-CN"/>
              </w:rPr>
            </w:pPr>
            <w:r>
              <w:rPr>
                <w:rFonts w:ascii="Times New Roman"/>
                <w:color w:val="auto"/>
                <w:w w:val="99"/>
                <w:sz w:val="32"/>
              </w:rPr>
              <w:t>0</w:t>
            </w:r>
          </w:p>
        </w:tc>
        <w:tc>
          <w:tcPr>
            <w:tcW w:w="624" w:type="dxa"/>
            <w:tcBorders>
              <w:top w:val="single" w:color="auto" w:sz="4" w:space="0"/>
              <w:left w:val="single" w:color="auto" w:sz="4" w:space="0"/>
              <w:bottom w:val="single" w:color="auto" w:sz="4" w:space="0"/>
            </w:tcBorders>
            <w:shd w:val="clear" w:color="auto" w:fill="FFFFFF"/>
            <w:vAlign w:val="top"/>
          </w:tcPr>
          <w:p>
            <w:pPr>
              <w:pStyle w:val="14"/>
              <w:spacing w:before="152"/>
              <w:ind w:left="9" w:leftChars="0"/>
              <w:jc w:val="center"/>
              <w:rPr>
                <w:rFonts w:eastAsia="宋体"/>
                <w:color w:val="auto"/>
                <w:sz w:val="32"/>
                <w:szCs w:val="32"/>
                <w:lang w:eastAsia="zh-CN"/>
              </w:rPr>
            </w:pPr>
            <w:r>
              <w:rPr>
                <w:rFonts w:ascii="Times New Roman"/>
                <w:color w:val="auto"/>
                <w:w w:val="99"/>
                <w:sz w:val="32"/>
              </w:rPr>
              <w:t>0</w:t>
            </w:r>
          </w:p>
        </w:tc>
        <w:tc>
          <w:tcPr>
            <w:tcW w:w="624" w:type="dxa"/>
            <w:tcBorders>
              <w:top w:val="single" w:color="auto" w:sz="4" w:space="0"/>
              <w:left w:val="single" w:color="auto" w:sz="4" w:space="0"/>
              <w:bottom w:val="single" w:color="auto" w:sz="4" w:space="0"/>
            </w:tcBorders>
            <w:shd w:val="clear" w:color="auto" w:fill="FFFFFF"/>
            <w:vAlign w:val="top"/>
          </w:tcPr>
          <w:p>
            <w:pPr>
              <w:pStyle w:val="14"/>
              <w:spacing w:before="152"/>
              <w:ind w:left="9"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pPr>
              <w:pStyle w:val="14"/>
              <w:spacing w:before="152"/>
              <w:ind w:left="9"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pPr>
              <w:pStyle w:val="14"/>
              <w:spacing w:before="152"/>
              <w:ind w:left="8" w:leftChars="0"/>
              <w:jc w:val="center"/>
              <w:rPr>
                <w:rFonts w:eastAsia="宋体"/>
                <w:color w:val="auto"/>
                <w:sz w:val="32"/>
                <w:szCs w:val="32"/>
                <w:lang w:eastAsia="zh-CN"/>
              </w:rPr>
            </w:pPr>
            <w:r>
              <w:rPr>
                <w:rFonts w:ascii="Times New Roman"/>
                <w:color w:val="auto"/>
                <w:w w:val="99"/>
                <w:sz w:val="32"/>
              </w:rPr>
              <w:t>0</w:t>
            </w:r>
          </w:p>
        </w:tc>
        <w:tc>
          <w:tcPr>
            <w:tcW w:w="571" w:type="dxa"/>
            <w:tcBorders>
              <w:top w:val="single" w:color="auto" w:sz="4" w:space="0"/>
              <w:left w:val="single" w:color="auto" w:sz="4" w:space="0"/>
              <w:bottom w:val="single" w:color="auto" w:sz="4" w:space="0"/>
            </w:tcBorders>
            <w:shd w:val="clear" w:color="auto" w:fill="FFFFFF"/>
            <w:vAlign w:val="top"/>
          </w:tcPr>
          <w:p>
            <w:pPr>
              <w:pStyle w:val="14"/>
              <w:spacing w:before="152"/>
              <w:ind w:left="8"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pPr>
              <w:pStyle w:val="14"/>
              <w:spacing w:before="152"/>
              <w:ind w:left="8" w:leftChars="0"/>
              <w:jc w:val="center"/>
              <w:rPr>
                <w:rFonts w:eastAsia="宋体"/>
                <w:color w:val="auto"/>
                <w:sz w:val="32"/>
                <w:szCs w:val="32"/>
                <w:lang w:eastAsia="zh-CN"/>
              </w:rPr>
            </w:pPr>
            <w:r>
              <w:rPr>
                <w:rFonts w:ascii="Times New Roman"/>
                <w:color w:val="auto"/>
                <w:w w:val="99"/>
                <w:sz w:val="32"/>
              </w:rPr>
              <w:t>0</w:t>
            </w:r>
          </w:p>
        </w:tc>
        <w:tc>
          <w:tcPr>
            <w:tcW w:w="566" w:type="dxa"/>
            <w:tcBorders>
              <w:top w:val="single" w:color="auto" w:sz="4" w:space="0"/>
              <w:left w:val="single" w:color="auto" w:sz="4" w:space="0"/>
              <w:bottom w:val="single" w:color="auto" w:sz="4" w:space="0"/>
            </w:tcBorders>
            <w:shd w:val="clear" w:color="auto" w:fill="FFFFFF"/>
            <w:vAlign w:val="top"/>
          </w:tcPr>
          <w:p>
            <w:pPr>
              <w:pStyle w:val="14"/>
              <w:spacing w:before="152"/>
              <w:ind w:left="8" w:leftChars="0"/>
              <w:jc w:val="center"/>
              <w:rPr>
                <w:rFonts w:eastAsia="宋体"/>
                <w:color w:val="auto"/>
                <w:sz w:val="32"/>
                <w:szCs w:val="32"/>
                <w:lang w:eastAsia="zh-CN"/>
              </w:rPr>
            </w:pPr>
            <w:r>
              <w:rPr>
                <w:rFonts w:ascii="Times New Roman"/>
                <w:color w:val="auto"/>
                <w:w w:val="99"/>
                <w:sz w:val="32"/>
              </w:rPr>
              <w:t>0</w:t>
            </w:r>
          </w:p>
        </w:tc>
        <w:tc>
          <w:tcPr>
            <w:tcW w:w="566" w:type="dxa"/>
            <w:tcBorders>
              <w:top w:val="single" w:color="auto" w:sz="4" w:space="0"/>
              <w:left w:val="single" w:color="auto" w:sz="4" w:space="0"/>
              <w:bottom w:val="single" w:color="auto" w:sz="4" w:space="0"/>
            </w:tcBorders>
            <w:shd w:val="clear" w:color="auto" w:fill="FFFFFF"/>
            <w:vAlign w:val="top"/>
          </w:tcPr>
          <w:p>
            <w:pPr>
              <w:pStyle w:val="14"/>
              <w:spacing w:before="152"/>
              <w:ind w:left="9"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pPr>
              <w:pStyle w:val="14"/>
              <w:spacing w:before="152"/>
              <w:ind w:left="9" w:leftChars="0"/>
              <w:jc w:val="center"/>
              <w:rPr>
                <w:rFonts w:eastAsia="宋体"/>
                <w:color w:val="auto"/>
                <w:sz w:val="32"/>
                <w:szCs w:val="32"/>
                <w:lang w:eastAsia="zh-CN"/>
              </w:rPr>
            </w:pPr>
            <w:r>
              <w:rPr>
                <w:rFonts w:ascii="Times New Roman"/>
                <w:color w:val="auto"/>
                <w:w w:val="99"/>
                <w:sz w:val="32"/>
              </w:rPr>
              <w:t>0</w:t>
            </w:r>
          </w:p>
        </w:tc>
        <w:tc>
          <w:tcPr>
            <w:tcW w:w="571" w:type="dxa"/>
            <w:tcBorders>
              <w:top w:val="single" w:color="auto" w:sz="4" w:space="0"/>
              <w:left w:val="single" w:color="auto" w:sz="4" w:space="0"/>
              <w:bottom w:val="single" w:color="auto" w:sz="4" w:space="0"/>
            </w:tcBorders>
            <w:shd w:val="clear" w:color="auto" w:fill="FFFFFF"/>
            <w:vAlign w:val="top"/>
          </w:tcPr>
          <w:p>
            <w:pPr>
              <w:pStyle w:val="14"/>
              <w:spacing w:before="152"/>
              <w:ind w:left="8"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pPr>
              <w:pStyle w:val="14"/>
              <w:spacing w:before="152"/>
              <w:ind w:left="8" w:leftChars="0"/>
              <w:jc w:val="center"/>
              <w:rPr>
                <w:rFonts w:eastAsia="宋体"/>
                <w:color w:val="auto"/>
                <w:sz w:val="32"/>
                <w:szCs w:val="32"/>
                <w:lang w:eastAsia="zh-CN"/>
              </w:rPr>
            </w:pPr>
            <w:r>
              <w:rPr>
                <w:rFonts w:ascii="Times New Roman"/>
                <w:color w:val="auto"/>
                <w:w w:val="99"/>
                <w:sz w:val="32"/>
              </w:rPr>
              <w:t>0</w:t>
            </w:r>
          </w:p>
        </w:tc>
        <w:tc>
          <w:tcPr>
            <w:tcW w:w="566" w:type="dxa"/>
            <w:tcBorders>
              <w:top w:val="single" w:color="auto" w:sz="4" w:space="0"/>
              <w:left w:val="single" w:color="auto" w:sz="4" w:space="0"/>
              <w:bottom w:val="single" w:color="auto" w:sz="4" w:space="0"/>
            </w:tcBorders>
            <w:shd w:val="clear" w:color="auto" w:fill="FFFFFF"/>
            <w:vAlign w:val="top"/>
          </w:tcPr>
          <w:p>
            <w:pPr>
              <w:pStyle w:val="14"/>
              <w:spacing w:before="152"/>
              <w:ind w:left="8" w:leftChars="0"/>
              <w:jc w:val="center"/>
              <w:rPr>
                <w:rFonts w:eastAsia="宋体"/>
                <w:color w:val="auto"/>
                <w:sz w:val="32"/>
                <w:szCs w:val="32"/>
                <w:lang w:eastAsia="zh-CN"/>
              </w:rPr>
            </w:pPr>
            <w:r>
              <w:rPr>
                <w:rFonts w:ascii="Times New Roman"/>
                <w:color w:val="auto"/>
                <w:w w:val="99"/>
                <w:sz w:val="32"/>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14"/>
              <w:spacing w:before="152"/>
              <w:ind w:left="8" w:leftChars="0"/>
              <w:jc w:val="center"/>
              <w:rPr>
                <w:rFonts w:eastAsia="宋体"/>
                <w:color w:val="auto"/>
                <w:sz w:val="32"/>
                <w:szCs w:val="32"/>
                <w:lang w:eastAsia="zh-CN"/>
              </w:rPr>
            </w:pPr>
            <w:r>
              <w:rPr>
                <w:rFonts w:ascii="Times New Roman"/>
                <w:color w:val="auto"/>
                <w:w w:val="99"/>
                <w:sz w:val="32"/>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eastAsia="黑体"/>
          <w:color w:val="auto"/>
          <w:sz w:val="32"/>
          <w:szCs w:val="32"/>
          <w:lang w:eastAsia="zh-CN" w:bidi="ar-SA"/>
        </w:rPr>
      </w:pPr>
      <w:r>
        <w:rPr>
          <w:rFonts w:hint="eastAsia" w:eastAsia="黑体"/>
          <w:b/>
          <w:bCs/>
          <w:color w:val="auto"/>
          <w:sz w:val="32"/>
          <w:szCs w:val="32"/>
          <w:lang w:val="en-US" w:eastAsia="zh-CN" w:bidi="ar-SA"/>
        </w:rPr>
        <w:t>五、</w:t>
      </w:r>
      <w:r>
        <w:rPr>
          <w:rFonts w:eastAsia="黑体"/>
          <w:b/>
          <w:bCs/>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eastAsia="黑体"/>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（一）2022年存在问题整改情况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kern w:val="0"/>
          <w:sz w:val="32"/>
          <w:szCs w:val="32"/>
          <w:lang w:val="zh-TW" w:eastAsia="zh-CN" w:bidi="zh-TW"/>
        </w:rPr>
      </w:pPr>
      <w:r>
        <w:rPr>
          <w:rFonts w:hint="default" w:ascii="Times New Roman" w:hAnsi="Times New Roman" w:eastAsia="仿宋_GB2312" w:cs="Times New Roman"/>
          <w:bCs/>
          <w:color w:val="auto"/>
          <w:kern w:val="0"/>
          <w:sz w:val="32"/>
          <w:szCs w:val="32"/>
          <w:lang w:val="zh-TW" w:eastAsia="zh-CN" w:bidi="zh-TW"/>
        </w:rPr>
        <w:t>部分干部对《中华人民共和国政府信息公开条例》新规的把握还不够透彻。为此我局专门组织机关干部对条例进行了学习，下一步将对照新修订的条例内容，逐步健全完善政府信息公开相关工作制度，使信息公开工作进一步规范化、制度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（二）2023年存在问题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zh-TW" w:eastAsia="zh-CN" w:bidi="zh-TW"/>
        </w:rPr>
      </w:pPr>
      <w:r>
        <w:rPr>
          <w:rFonts w:hint="eastAsia" w:ascii="仿宋_GB2312" w:hAnsi="仿宋_GB2312" w:eastAsia="仿宋_GB2312" w:cs="仿宋_GB2312"/>
          <w:bCs/>
          <w:color w:val="auto"/>
          <w:kern w:val="0"/>
          <w:sz w:val="32"/>
          <w:szCs w:val="32"/>
          <w:lang w:val="zh-TW" w:eastAsia="zh-CN" w:bidi="zh-TW"/>
        </w:rPr>
        <w:t>一是对政务公开工作重视程度还不够，主动性不强。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zh-TW" w:eastAsia="zh-CN" w:bidi="zh-TW"/>
        </w:rPr>
      </w:pPr>
      <w:r>
        <w:rPr>
          <w:rFonts w:hint="eastAsia" w:ascii="仿宋_GB2312" w:hAnsi="仿宋_GB2312" w:eastAsia="仿宋_GB2312" w:cs="仿宋_GB2312"/>
          <w:bCs/>
          <w:color w:val="auto"/>
          <w:kern w:val="0"/>
          <w:sz w:val="32"/>
          <w:szCs w:val="32"/>
          <w:lang w:val="zh-TW" w:eastAsia="zh-CN" w:bidi="zh-TW"/>
        </w:rPr>
        <w:t>二是政务公开重点不够突出、不够全面，公开信息质量有待提高。</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改进措施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zh-TW" w:eastAsia="zh-CN" w:bidi="zh-TW"/>
        </w:rPr>
      </w:pPr>
      <w:r>
        <w:rPr>
          <w:rFonts w:hint="eastAsia" w:ascii="仿宋_GB2312" w:hAnsi="仿宋_GB2312" w:eastAsia="仿宋_GB2312" w:cs="仿宋_GB2312"/>
          <w:bCs/>
          <w:color w:val="auto"/>
          <w:kern w:val="0"/>
          <w:sz w:val="32"/>
          <w:szCs w:val="32"/>
          <w:lang w:val="zh-TW" w:eastAsia="zh-CN" w:bidi="zh-TW"/>
        </w:rPr>
        <w:t>一是强化组织领导。将政务公开工作作为一项重点工作来推进，由局</w:t>
      </w:r>
      <w:r>
        <w:rPr>
          <w:rFonts w:hint="eastAsia" w:ascii="仿宋_GB2312" w:hAnsi="仿宋_GB2312" w:eastAsia="仿宋_GB2312" w:cs="仿宋_GB2312"/>
          <w:bCs/>
          <w:color w:val="auto"/>
          <w:kern w:val="0"/>
          <w:sz w:val="32"/>
          <w:szCs w:val="32"/>
          <w:lang w:val="en-US" w:eastAsia="zh-CN" w:bidi="zh-TW"/>
        </w:rPr>
        <w:t>办公室</w:t>
      </w:r>
      <w:r>
        <w:rPr>
          <w:rFonts w:hint="eastAsia" w:ascii="仿宋_GB2312" w:hAnsi="仿宋_GB2312" w:eastAsia="仿宋_GB2312" w:cs="仿宋_GB2312"/>
          <w:bCs/>
          <w:color w:val="auto"/>
          <w:kern w:val="0"/>
          <w:sz w:val="32"/>
          <w:szCs w:val="32"/>
          <w:lang w:val="zh-TW" w:eastAsia="zh-CN" w:bidi="zh-TW"/>
        </w:rPr>
        <w:t>进行统筹协调，督促相关科室及时主动公开相关信息，保证政务公开工作顺利推进。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zh-TW" w:eastAsia="zh-CN" w:bidi="zh-TW"/>
        </w:rPr>
      </w:pPr>
      <w:r>
        <w:rPr>
          <w:rFonts w:hint="eastAsia" w:ascii="仿宋_GB2312" w:hAnsi="仿宋_GB2312" w:eastAsia="仿宋_GB2312" w:cs="仿宋_GB2312"/>
          <w:bCs/>
          <w:color w:val="auto"/>
          <w:kern w:val="0"/>
          <w:sz w:val="32"/>
          <w:szCs w:val="32"/>
          <w:lang w:val="zh-TW" w:eastAsia="zh-CN" w:bidi="zh-TW"/>
        </w:rPr>
        <w:t>二是加强信息公开质量。围绕重点领域工作，对信息公开事项进行筛选、提取群众关心的、职责范围内的信息作为公开重点，并对信息公开事项进行严格审核把关，保证信息公开质量。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b/>
          <w:bCs/>
          <w:color w:val="auto"/>
          <w:sz w:val="32"/>
          <w:szCs w:val="32"/>
          <w:lang w:eastAsia="zh-CN" w:bidi="zh-TW"/>
        </w:rPr>
      </w:pPr>
      <w:r>
        <w:rPr>
          <w:rFonts w:hint="eastAsia" w:eastAsia="黑体"/>
          <w:b/>
          <w:bCs/>
          <w:color w:val="auto"/>
          <w:sz w:val="32"/>
          <w:szCs w:val="32"/>
          <w:lang w:val="en-US" w:eastAsia="zh-CN" w:bidi="zh-TW"/>
        </w:rPr>
        <w:t>六、</w:t>
      </w:r>
      <w:r>
        <w:rPr>
          <w:rFonts w:eastAsia="黑体"/>
          <w:b/>
          <w:bCs/>
          <w:color w:val="auto"/>
          <w:sz w:val="32"/>
          <w:szCs w:val="32"/>
          <w:lang w:eastAsia="zh-CN" w:bidi="zh-TW"/>
        </w:rPr>
        <w:t>其他需要报告的事项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3"/>
        <w:rPr>
          <w:rFonts w:hint="eastAsia" w:ascii="楷体_GB2312" w:hAnsi="楷体_GB2312" w:eastAsia="楷体_GB2312" w:cs="楷体_GB2312"/>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pPr>
        <w:keepNext w:val="0"/>
        <w:keepLines w:val="0"/>
        <w:pageBreakBefore w:val="0"/>
        <w:numPr>
          <w:ilvl w:val="0"/>
          <w:numId w:val="2"/>
        </w:numPr>
        <w:kinsoku/>
        <w:wordWrap/>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2023年度市中区科学技术局严格按照上级年度政务公开工作要点开展工作，狠抓任务落实，确保完成各项工作目 标。</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人大代表建议和政协委员提案办理情况</w:t>
      </w:r>
    </w:p>
    <w:p>
      <w:pPr>
        <w:pStyle w:val="3"/>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kern w:val="0"/>
          <w:sz w:val="32"/>
          <w:szCs w:val="32"/>
          <w:lang w:val="en-US" w:eastAsia="zh-CN" w:bidi="en-US"/>
        </w:rPr>
      </w:pPr>
      <w:r>
        <w:rPr>
          <w:rFonts w:hint="eastAsia" w:ascii="仿宋_GB2312" w:hAnsi="仿宋_GB2312" w:eastAsia="仿宋_GB2312" w:cs="仿宋_GB2312"/>
          <w:b w:val="0"/>
          <w:bCs w:val="0"/>
          <w:color w:val="auto"/>
          <w:kern w:val="0"/>
          <w:sz w:val="32"/>
          <w:szCs w:val="32"/>
          <w:lang w:val="en-US" w:eastAsia="zh-CN" w:bidi="en-US"/>
        </w:rPr>
        <w:t>2023年，市中区科学技术局共承办区人大代表建议 3件、区政协委员提案 11 件，办复率 100%。</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firstLine="643" w:firstLineChars="200"/>
        <w:contextualSpacing/>
        <w:textAlignment w:val="auto"/>
        <w:rPr>
          <w:rFonts w:hint="eastAsia" w:ascii="楷体_GB2312" w:hAnsi="楷体_GB2312" w:eastAsia="楷体_GB2312" w:cs="楷体_GB2312"/>
          <w:b/>
          <w:bCs/>
          <w:color w:val="auto"/>
          <w:sz w:val="32"/>
          <w:szCs w:val="32"/>
          <w:shd w:val="clear" w:color="auto" w:fill="FFFFFF"/>
          <w:lang w:val="en-US" w:eastAsia="zh-CN"/>
        </w:rPr>
      </w:pPr>
      <w:r>
        <w:rPr>
          <w:rFonts w:hint="eastAsia" w:ascii="楷体_GB2312" w:hAnsi="楷体_GB2312" w:eastAsia="楷体_GB2312" w:cs="楷体_GB2312"/>
          <w:b/>
          <w:bCs/>
          <w:color w:val="auto"/>
          <w:sz w:val="32"/>
          <w:szCs w:val="32"/>
          <w:shd w:val="clear" w:color="auto" w:fill="FFFFFF"/>
          <w:lang w:val="en-US" w:eastAsia="zh-CN"/>
        </w:rPr>
        <w:t>本行政机关年度政务公开工作创新情况</w:t>
      </w:r>
    </w:p>
    <w:p>
      <w:pPr>
        <w:pStyle w:val="3"/>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b w:val="0"/>
          <w:bCs w:val="0"/>
          <w:color w:val="auto"/>
          <w:kern w:val="0"/>
          <w:sz w:val="32"/>
          <w:szCs w:val="32"/>
          <w:lang w:val="en-US" w:eastAsia="zh-CN" w:bidi="en-US"/>
        </w:rPr>
      </w:pPr>
      <w:r>
        <w:rPr>
          <w:rFonts w:hint="default" w:ascii="仿宋_GB2312" w:hAnsi="仿宋_GB2312" w:eastAsia="仿宋_GB2312" w:cs="仿宋_GB2312"/>
          <w:b w:val="0"/>
          <w:bCs w:val="0"/>
          <w:color w:val="auto"/>
          <w:kern w:val="0"/>
          <w:sz w:val="32"/>
          <w:szCs w:val="32"/>
          <w:lang w:val="en-US" w:eastAsia="zh-CN" w:bidi="en-US"/>
        </w:rPr>
        <w:t>202</w:t>
      </w:r>
      <w:r>
        <w:rPr>
          <w:rFonts w:hint="eastAsia" w:cs="仿宋_GB2312"/>
          <w:b w:val="0"/>
          <w:bCs w:val="0"/>
          <w:color w:val="auto"/>
          <w:kern w:val="0"/>
          <w:sz w:val="32"/>
          <w:szCs w:val="32"/>
          <w:lang w:val="en-US" w:eastAsia="zh-CN" w:bidi="en-US"/>
        </w:rPr>
        <w:t>3</w:t>
      </w:r>
      <w:r>
        <w:rPr>
          <w:rFonts w:hint="default" w:ascii="仿宋_GB2312" w:hAnsi="仿宋_GB2312" w:eastAsia="仿宋_GB2312" w:cs="仿宋_GB2312"/>
          <w:b w:val="0"/>
          <w:bCs w:val="0"/>
          <w:color w:val="auto"/>
          <w:kern w:val="0"/>
          <w:sz w:val="32"/>
          <w:szCs w:val="32"/>
          <w:lang w:val="en-US" w:eastAsia="zh-CN" w:bidi="en-US"/>
        </w:rPr>
        <w:t>年，市中区</w:t>
      </w:r>
      <w:r>
        <w:rPr>
          <w:rFonts w:hint="eastAsia" w:ascii="仿宋_GB2312" w:hAnsi="仿宋_GB2312" w:eastAsia="仿宋_GB2312" w:cs="仿宋_GB2312"/>
          <w:b w:val="0"/>
          <w:bCs w:val="0"/>
          <w:color w:val="auto"/>
          <w:kern w:val="0"/>
          <w:sz w:val="32"/>
          <w:szCs w:val="32"/>
          <w:lang w:val="en-US" w:eastAsia="zh-CN" w:bidi="en-US"/>
        </w:rPr>
        <w:t>科学技术局</w:t>
      </w:r>
      <w:r>
        <w:rPr>
          <w:rFonts w:hint="default" w:ascii="仿宋_GB2312" w:hAnsi="仿宋_GB2312" w:eastAsia="仿宋_GB2312" w:cs="仿宋_GB2312"/>
          <w:b w:val="0"/>
          <w:bCs w:val="0"/>
          <w:color w:val="auto"/>
          <w:kern w:val="0"/>
          <w:sz w:val="32"/>
          <w:szCs w:val="32"/>
          <w:lang w:val="en-US" w:eastAsia="zh-CN" w:bidi="en-US"/>
        </w:rPr>
        <w:t>依托区政府门户网站，积极发布</w:t>
      </w:r>
      <w:r>
        <w:rPr>
          <w:rFonts w:hint="eastAsia" w:cs="仿宋_GB2312"/>
          <w:b w:val="0"/>
          <w:bCs w:val="0"/>
          <w:color w:val="auto"/>
          <w:kern w:val="0"/>
          <w:sz w:val="32"/>
          <w:szCs w:val="32"/>
          <w:lang w:val="en-US" w:eastAsia="zh-CN" w:bidi="en-US"/>
        </w:rPr>
        <w:t>科技</w:t>
      </w:r>
      <w:r>
        <w:rPr>
          <w:rFonts w:hint="default" w:ascii="仿宋_GB2312" w:hAnsi="仿宋_GB2312" w:eastAsia="仿宋_GB2312" w:cs="仿宋_GB2312"/>
          <w:b w:val="0"/>
          <w:bCs w:val="0"/>
          <w:color w:val="auto"/>
          <w:kern w:val="0"/>
          <w:sz w:val="32"/>
          <w:szCs w:val="32"/>
          <w:lang w:val="en-US" w:eastAsia="zh-CN" w:bidi="en-US"/>
        </w:rPr>
        <w:t>领域动态和政策措施，通过“幸福微市中”微信公众号，多渠道开展政务公开工作。</w:t>
      </w:r>
    </w:p>
    <w:p>
      <w:pPr>
        <w:keepNext w:val="0"/>
        <w:keepLines w:val="0"/>
        <w:pageBreakBefore w:val="0"/>
        <w:widowControl/>
        <w:kinsoku/>
        <w:wordWrap/>
        <w:overflowPunct/>
        <w:topLinePunct w:val="0"/>
        <w:autoSpaceDE/>
        <w:autoSpaceDN/>
        <w:bidi w:val="0"/>
        <w:adjustRightInd/>
        <w:snapToGrid/>
        <w:spacing w:line="560" w:lineRule="exact"/>
        <w:ind w:left="0" w:right="0" w:firstLine="643" w:firstLineChars="200"/>
        <w:contextualSpacing/>
        <w:textAlignment w:val="auto"/>
        <w:rPr>
          <w:rFonts w:hint="eastAsia" w:eastAsia="仿宋_GB2312"/>
          <w:b/>
          <w:bCs/>
          <w:color w:val="auto"/>
          <w:sz w:val="32"/>
          <w:szCs w:val="32"/>
          <w:shd w:val="clear" w:color="auto" w:fill="FFFFFF"/>
          <w:lang w:val="en-US" w:eastAsia="zh-CN"/>
        </w:rPr>
      </w:pPr>
      <w:bookmarkStart w:id="9" w:name="_GoBack"/>
      <w:bookmarkEnd w:id="9"/>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color w:val="auto"/>
          <w:sz w:val="32"/>
          <w:szCs w:val="32"/>
          <w:lang w:val="en-US" w:eastAsia="zh-CN"/>
        </w:rPr>
        <w:t xml:space="preserve">市中区科学技术局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2024年1月20日</w:t>
      </w:r>
    </w:p>
    <w:p>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BF310"/>
    <w:multiLevelType w:val="singleLevel"/>
    <w:tmpl w:val="909BF310"/>
    <w:lvl w:ilvl="0" w:tentative="0">
      <w:start w:val="3"/>
      <w:numFmt w:val="chineseCounting"/>
      <w:suff w:val="nothing"/>
      <w:lvlText w:val="（%1）"/>
      <w:lvlJc w:val="left"/>
      <w:rPr>
        <w:rFonts w:hint="eastAsia"/>
      </w:rPr>
    </w:lvl>
  </w:abstractNum>
  <w:abstractNum w:abstractNumId="1">
    <w:nsid w:val="DBC29E1C"/>
    <w:multiLevelType w:val="singleLevel"/>
    <w:tmpl w:val="DBC29E1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GMyMzQzMjRhZGU1ZjM0MzdkMDMwYmZjOTc2ZGQifQ=="/>
  </w:docVars>
  <w:rsids>
    <w:rsidRoot w:val="00112B69"/>
    <w:rsid w:val="00081823"/>
    <w:rsid w:val="00112B69"/>
    <w:rsid w:val="005A70FF"/>
    <w:rsid w:val="00B03096"/>
    <w:rsid w:val="00F0539A"/>
    <w:rsid w:val="021D046B"/>
    <w:rsid w:val="025E0CC2"/>
    <w:rsid w:val="0A3E1141"/>
    <w:rsid w:val="0B8F2AB2"/>
    <w:rsid w:val="0CD07ED2"/>
    <w:rsid w:val="0D426B65"/>
    <w:rsid w:val="0DB7343A"/>
    <w:rsid w:val="101A475B"/>
    <w:rsid w:val="17490EF2"/>
    <w:rsid w:val="1AAF71B2"/>
    <w:rsid w:val="1D276D79"/>
    <w:rsid w:val="1DC53412"/>
    <w:rsid w:val="1FD24907"/>
    <w:rsid w:val="2007106B"/>
    <w:rsid w:val="227F4F5F"/>
    <w:rsid w:val="24B65C7B"/>
    <w:rsid w:val="271F6DB2"/>
    <w:rsid w:val="28BE4FD8"/>
    <w:rsid w:val="2A366FA5"/>
    <w:rsid w:val="2A6E4A40"/>
    <w:rsid w:val="2B247393"/>
    <w:rsid w:val="2B7E7F7A"/>
    <w:rsid w:val="34C27E73"/>
    <w:rsid w:val="372B44B7"/>
    <w:rsid w:val="37DD4F2A"/>
    <w:rsid w:val="3CA63654"/>
    <w:rsid w:val="424E6C95"/>
    <w:rsid w:val="42962A0C"/>
    <w:rsid w:val="43677CBB"/>
    <w:rsid w:val="45AE2F71"/>
    <w:rsid w:val="4A263FB9"/>
    <w:rsid w:val="4BE16E0F"/>
    <w:rsid w:val="5A891C07"/>
    <w:rsid w:val="5AE6494C"/>
    <w:rsid w:val="5EA95810"/>
    <w:rsid w:val="62A02DE5"/>
    <w:rsid w:val="62DF0CAC"/>
    <w:rsid w:val="64490C92"/>
    <w:rsid w:val="6EC52406"/>
    <w:rsid w:val="71742F46"/>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b/>
      <w:bCs/>
      <w:sz w:val="32"/>
      <w:szCs w:val="32"/>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pPr>
    <w:rPr>
      <w:rFonts w:ascii="宋体" w:hAnsi="宋体" w:cs="宋体"/>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paragraph" w:customStyle="1" w:styleId="10">
    <w:name w:val="Header or footer|1"/>
    <w:basedOn w:val="1"/>
    <w:qFormat/>
    <w:uiPriority w:val="0"/>
    <w:rPr>
      <w:sz w:val="26"/>
      <w:szCs w:val="26"/>
      <w:lang w:val="zh-TW" w:eastAsia="zh-TW" w:bidi="zh-TW"/>
    </w:rPr>
  </w:style>
  <w:style w:type="paragraph" w:customStyle="1" w:styleId="11">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2">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3">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14">
    <w:name w:val="Table Paragraph"/>
    <w:basedOn w:val="1"/>
    <w:qFormat/>
    <w:uiPriority w:val="1"/>
    <w:pPr>
      <w:spacing w:before="127"/>
      <w:ind w:left="11"/>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205</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2024-01-04T06:31:00Z</cp:lastPrinted>
  <dcterms:modified xsi:type="dcterms:W3CDTF">2024-01-22T08:02:07Z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3A2EFBDA844A4B3C8CABB234E047CE44_13</vt:lpwstr>
  </property>
</Properties>
</file>