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市中区农业农村局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sz w:val="44"/>
          <w:szCs w:val="44"/>
          <w:lang w:eastAsia="zh-CN"/>
        </w:rPr>
      </w:pPr>
      <w:r>
        <w:rPr>
          <w:rFonts w:hint="eastAsia" w:ascii="方正小标宋简体" w:hAnsi="方正小标宋简体" w:eastAsia="方正小标宋简体" w:cs="方正小标宋简体"/>
          <w:b/>
          <w:bCs/>
          <w:color w:val="auto"/>
          <w:sz w:val="44"/>
          <w:szCs w:val="44"/>
          <w:lang w:eastAsia="zh-CN"/>
        </w:rPr>
        <w:t>202</w:t>
      </w:r>
      <w:r>
        <w:rPr>
          <w:rFonts w:hint="eastAsia" w:ascii="方正小标宋简体" w:hAnsi="方正小标宋简体" w:eastAsia="方正小标宋简体" w:cs="方正小标宋简体"/>
          <w:b/>
          <w:bCs/>
          <w:color w:val="auto"/>
          <w:sz w:val="44"/>
          <w:szCs w:val="44"/>
          <w:lang w:val="en-US" w:eastAsia="zh-CN"/>
        </w:rPr>
        <w:t>3</w:t>
      </w:r>
      <w:r>
        <w:rPr>
          <w:rFonts w:hint="eastAsia" w:ascii="方正小标宋简体" w:hAnsi="方正小标宋简体" w:eastAsia="方正小标宋简体" w:cs="方正小标宋简体"/>
          <w:b/>
          <w:bCs/>
          <w:color w:val="auto"/>
          <w:sz w:val="44"/>
          <w:szCs w:val="44"/>
          <w:lang w:eastAsia="zh-CN"/>
        </w:rPr>
        <w:t>年政府信息公开工作年度报告</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color w:val="auto"/>
          <w:sz w:val="32"/>
          <w:szCs w:val="32"/>
          <w:shd w:val="clear" w:color="auto" w:fill="FFFFFF"/>
          <w:lang w:eastAsia="zh-CN"/>
        </w:rPr>
      </w:pPr>
    </w:p>
    <w:p>
      <w:pPr>
        <w:keepNext w:val="0"/>
        <w:keepLines w:val="0"/>
        <w:pageBreakBefore w:val="0"/>
        <w:widowControl/>
        <w:kinsoku/>
        <w:wordWrap/>
        <w:overflowPunct/>
        <w:topLinePunct w:val="0"/>
        <w:autoSpaceDE/>
        <w:autoSpaceDN/>
        <w:bidi w:val="0"/>
        <w:adjustRightInd/>
        <w:snapToGrid/>
        <w:spacing w:line="520" w:lineRule="exact"/>
        <w:ind w:firstLine="640" w:firstLineChars="200"/>
        <w:contextualSpacing/>
        <w:textAlignment w:val="auto"/>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lang w:eastAsia="zh-CN"/>
        </w:rPr>
        <w:t>本年度报告根据《中华人民共和国政府信息公开条例》和《国务院办公厅政府信息与政务公开办公室关于印发&lt;中华人民共和国政府信息公开工作年度报告格式&gt;的通知》相关要求编制并向社会公开。本年度报告电子版可从市中区人民政府门户网站（http://www.zzszq.gov.cn/）查阅或下载。本报告所列数据的统计时限自2023年1月1日起至2023年12月31日止。如对本报告有疑问，可与</w:t>
      </w:r>
      <w:r>
        <w:rPr>
          <w:rFonts w:hint="default" w:ascii="Times New Roman" w:hAnsi="Times New Roman" w:eastAsia="仿宋_GB2312" w:cs="Times New Roman"/>
          <w:color w:val="auto"/>
          <w:sz w:val="32"/>
          <w:szCs w:val="32"/>
          <w:shd w:val="clear" w:color="auto" w:fill="FFFFFF"/>
          <w:lang w:val="en-US" w:eastAsia="zh-CN"/>
        </w:rPr>
        <w:t>市中区</w:t>
      </w:r>
      <w:r>
        <w:rPr>
          <w:rFonts w:hint="default" w:ascii="Times New Roman" w:hAnsi="Times New Roman" w:eastAsia="仿宋_GB2312" w:cs="Times New Roman"/>
          <w:b w:val="0"/>
          <w:bCs w:val="0"/>
          <w:color w:val="auto"/>
          <w:sz w:val="32"/>
          <w:szCs w:val="32"/>
          <w:shd w:val="clear" w:color="auto" w:fill="FFFFFF"/>
          <w:lang w:val="en-US" w:eastAsia="zh-CN"/>
        </w:rPr>
        <w:t>农业农村局</w:t>
      </w:r>
      <w:r>
        <w:rPr>
          <w:rFonts w:hint="default" w:ascii="Times New Roman" w:hAnsi="Times New Roman" w:eastAsia="仿宋_GB2312" w:cs="Times New Roman"/>
          <w:color w:val="auto"/>
          <w:sz w:val="32"/>
          <w:szCs w:val="32"/>
          <w:shd w:val="clear" w:color="auto" w:fill="FFFFFF"/>
          <w:lang w:eastAsia="zh-CN"/>
        </w:rPr>
        <w:t>联系（地址:</w:t>
      </w:r>
      <w:r>
        <w:rPr>
          <w:rFonts w:hint="default" w:ascii="Times New Roman" w:hAnsi="Times New Roman" w:eastAsia="仿宋_GB2312" w:cs="Times New Roman"/>
          <w:color w:val="auto"/>
          <w:sz w:val="32"/>
          <w:szCs w:val="32"/>
          <w:shd w:val="clear" w:color="auto" w:fill="FFFFFF"/>
          <w:lang w:val="en-US" w:eastAsia="zh-CN"/>
        </w:rPr>
        <w:t>枣庄市市中区青檀南路69号</w:t>
      </w:r>
      <w:r>
        <w:rPr>
          <w:rFonts w:hint="default" w:ascii="Times New Roman" w:hAnsi="Times New Roman" w:eastAsia="仿宋_GB2312" w:cs="Times New Roman"/>
          <w:color w:val="auto"/>
          <w:sz w:val="32"/>
          <w:szCs w:val="32"/>
          <w:shd w:val="clear" w:color="auto" w:fill="FFFFFF"/>
          <w:lang w:eastAsia="zh-CN"/>
        </w:rPr>
        <w:t>，邮编：</w:t>
      </w:r>
      <w:r>
        <w:rPr>
          <w:rFonts w:hint="default" w:ascii="Times New Roman" w:hAnsi="Times New Roman" w:eastAsia="仿宋_GB2312" w:cs="Times New Roman"/>
          <w:color w:val="auto"/>
          <w:sz w:val="32"/>
          <w:szCs w:val="32"/>
          <w:shd w:val="clear" w:color="auto" w:fill="FFFFFF"/>
          <w:lang w:val="en-US" w:eastAsia="zh-CN"/>
        </w:rPr>
        <w:t>277100</w:t>
      </w:r>
      <w:r>
        <w:rPr>
          <w:rFonts w:hint="default" w:ascii="Times New Roman" w:hAnsi="Times New Roman" w:eastAsia="仿宋_GB2312" w:cs="Times New Roman"/>
          <w:color w:val="auto"/>
          <w:sz w:val="32"/>
          <w:szCs w:val="32"/>
          <w:shd w:val="clear" w:color="auto" w:fill="FFFFFF"/>
          <w:lang w:eastAsia="zh-CN"/>
        </w:rPr>
        <w:t>，电话：</w:t>
      </w:r>
      <w:r>
        <w:rPr>
          <w:rFonts w:hint="default" w:ascii="Times New Roman" w:hAnsi="Times New Roman" w:eastAsia="仿宋_GB2312" w:cs="Times New Roman"/>
          <w:color w:val="auto"/>
          <w:sz w:val="32"/>
          <w:szCs w:val="32"/>
          <w:shd w:val="clear" w:color="auto" w:fill="FFFFFF"/>
          <w:lang w:val="en-US" w:eastAsia="zh-CN"/>
        </w:rPr>
        <w:t>0632-3086539</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电子邮箱：nyj3312283@126.com</w:t>
      </w:r>
      <w:r>
        <w:rPr>
          <w:rFonts w:hint="default" w:ascii="Times New Roman" w:hAnsi="Times New Roman" w:eastAsia="仿宋_GB2312" w:cs="Times New Roman"/>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黑体" w:cs="Times New Roman"/>
          <w:color w:val="auto"/>
          <w:sz w:val="32"/>
          <w:szCs w:val="32"/>
          <w:shd w:val="clear" w:color="auto" w:fill="FFFFFF"/>
          <w:lang w:eastAsia="zh-CN"/>
        </w:rPr>
      </w:pPr>
      <w:r>
        <w:rPr>
          <w:rFonts w:hint="default" w:ascii="Times New Roman" w:hAnsi="Times New Roman" w:eastAsia="黑体" w:cs="Times New Roman"/>
          <w:b/>
          <w:bCs/>
          <w:color w:val="auto"/>
          <w:sz w:val="32"/>
          <w:szCs w:val="32"/>
          <w:shd w:val="clear" w:color="auto" w:fill="FFFFFF"/>
          <w:lang w:val="en-US" w:eastAsia="zh-CN"/>
        </w:rPr>
        <w:t>一、</w:t>
      </w:r>
      <w:r>
        <w:rPr>
          <w:rFonts w:hint="default" w:ascii="Times New Roman" w:hAnsi="Times New Roman" w:eastAsia="黑体" w:cs="Times New Roman"/>
          <w:b/>
          <w:bCs/>
          <w:color w:val="auto"/>
          <w:sz w:val="32"/>
          <w:szCs w:val="32"/>
          <w:shd w:val="clear" w:color="auto" w:fill="FFFFFF"/>
          <w:lang w:eastAsia="zh-CN"/>
        </w:rPr>
        <w:t>总体情况</w:t>
      </w:r>
    </w:p>
    <w:p>
      <w:pPr>
        <w:keepNext w:val="0"/>
        <w:keepLines w:val="0"/>
        <w:pageBreakBefore w:val="0"/>
        <w:widowControl/>
        <w:kinsoku/>
        <w:wordWrap/>
        <w:overflowPunct/>
        <w:topLinePunct w:val="0"/>
        <w:autoSpaceDE/>
        <w:autoSpaceDN/>
        <w:bidi w:val="0"/>
        <w:adjustRightInd/>
        <w:snapToGrid/>
        <w:spacing w:line="520" w:lineRule="exact"/>
        <w:ind w:firstLine="640" w:firstLineChars="200"/>
        <w:contextualSpacing/>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2023年，我局认真贯彻落实《中华人民共和国政府信息公开条例》，着力健全完善信息公开工作体系，强化信息公开载体建设，并认真按照省、市、区有关推行政务公开的要求和部署把政务公开工作纳入到重要议事日程中，坚持依法公开、真实公正、讲求实效、利于监督的原则，结合我局工作实际，积极推进我局的政务公开工作。</w:t>
      </w:r>
    </w:p>
    <w:p>
      <w:pPr>
        <w:keepNext w:val="0"/>
        <w:keepLines w:val="0"/>
        <w:pageBreakBefore w:val="0"/>
        <w:widowControl/>
        <w:kinsoku/>
        <w:wordWrap/>
        <w:overflowPunct/>
        <w:topLinePunct w:val="0"/>
        <w:autoSpaceDE/>
        <w:autoSpaceDN/>
        <w:bidi w:val="0"/>
        <w:adjustRightInd/>
        <w:snapToGrid/>
        <w:spacing w:line="540" w:lineRule="exact"/>
        <w:ind w:firstLine="643" w:firstLineChars="200"/>
        <w:contextualSpacing/>
        <w:textAlignment w:val="auto"/>
        <w:rPr>
          <w:rFonts w:hint="default" w:ascii="Times New Roman" w:hAnsi="Times New Roman" w:eastAsia="楷体_GB2312" w:cs="Times New Roman"/>
          <w:b/>
          <w:bCs w:val="0"/>
          <w:color w:val="auto"/>
          <w:sz w:val="32"/>
          <w:szCs w:val="32"/>
          <w:lang w:eastAsia="zh-CN"/>
        </w:rPr>
      </w:pPr>
      <w:r>
        <w:rPr>
          <w:rFonts w:hint="default" w:ascii="Times New Roman" w:hAnsi="Times New Roman" w:eastAsia="楷体_GB2312" w:cs="Times New Roman"/>
          <w:b/>
          <w:bCs w:val="0"/>
          <w:color w:val="auto"/>
          <w:sz w:val="32"/>
          <w:szCs w:val="32"/>
          <w:lang w:val="en-US" w:eastAsia="zh-CN"/>
        </w:rPr>
        <w:t>（一）</w:t>
      </w:r>
      <w:r>
        <w:rPr>
          <w:rFonts w:hint="default" w:ascii="Times New Roman" w:hAnsi="Times New Roman" w:eastAsia="楷体_GB2312" w:cs="Times New Roman"/>
          <w:b/>
          <w:bCs w:val="0"/>
          <w:color w:val="auto"/>
          <w:sz w:val="32"/>
          <w:szCs w:val="32"/>
          <w:lang w:eastAsia="zh-CN"/>
        </w:rPr>
        <w:t>主动公开</w:t>
      </w:r>
    </w:p>
    <w:p>
      <w:pPr>
        <w:keepNext w:val="0"/>
        <w:keepLines w:val="0"/>
        <w:pageBreakBefore w:val="0"/>
        <w:widowControl/>
        <w:kinsoku/>
        <w:wordWrap/>
        <w:overflowPunct/>
        <w:topLinePunct w:val="0"/>
        <w:autoSpaceDE/>
        <w:autoSpaceDN/>
        <w:bidi w:val="0"/>
        <w:adjustRightInd/>
        <w:snapToGrid/>
        <w:spacing w:line="520" w:lineRule="exact"/>
        <w:ind w:firstLine="640" w:firstLineChars="200"/>
        <w:contextualSpacing/>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2023年，我局在政府网站主动公开各类信息156条、涉及乡村振兴项目安排、资金分配和各类涉农补贴。</w:t>
      </w:r>
    </w:p>
    <w:p>
      <w:pPr>
        <w:keepNext w:val="0"/>
        <w:keepLines w:val="0"/>
        <w:pageBreakBefore w:val="0"/>
        <w:widowControl/>
        <w:kinsoku/>
        <w:wordWrap/>
        <w:overflowPunct/>
        <w:topLinePunct w:val="0"/>
        <w:autoSpaceDE/>
        <w:autoSpaceDN/>
        <w:bidi w:val="0"/>
        <w:adjustRightInd/>
        <w:snapToGrid/>
        <w:spacing w:line="540" w:lineRule="exact"/>
        <w:ind w:firstLine="643" w:firstLineChars="200"/>
        <w:contextualSpacing/>
        <w:textAlignment w:val="auto"/>
        <w:rPr>
          <w:rFonts w:hint="default" w:ascii="Times New Roman" w:hAnsi="Times New Roman" w:eastAsia="楷体_GB2312" w:cs="Times New Roman"/>
          <w:b/>
          <w:bCs w:val="0"/>
          <w:color w:val="auto"/>
          <w:sz w:val="32"/>
          <w:szCs w:val="32"/>
          <w:lang w:eastAsia="zh-CN"/>
        </w:rPr>
      </w:pPr>
      <w:r>
        <w:rPr>
          <w:rFonts w:hint="default" w:ascii="Times New Roman" w:hAnsi="Times New Roman" w:eastAsia="楷体_GB2312" w:cs="Times New Roman"/>
          <w:b/>
          <w:bCs w:val="0"/>
          <w:color w:val="auto"/>
          <w:sz w:val="32"/>
          <w:szCs w:val="32"/>
          <w:lang w:val="en-US" w:eastAsia="zh-CN"/>
        </w:rPr>
        <w:t>（二）</w:t>
      </w:r>
      <w:r>
        <w:rPr>
          <w:rFonts w:hint="default" w:ascii="Times New Roman" w:hAnsi="Times New Roman" w:eastAsia="楷体_GB2312" w:cs="Times New Roman"/>
          <w:b/>
          <w:bCs w:val="0"/>
          <w:color w:val="auto"/>
          <w:sz w:val="32"/>
          <w:szCs w:val="32"/>
          <w:lang w:eastAsia="zh-CN"/>
        </w:rPr>
        <w:t>依申请公开</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1.做好依申请公开工作，依法保障民众的知情权、参与权、表达权、监督权。2023年共受理政府依申请信息公开申请1件，涉及村镇街道干部经济审查领域。已及时答复申请人。</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2.本年度依申请公开政府信息未收取任何费用。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3.全年未发生因政府信息公开被行政复议、提起行政诉讼情况。</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楷体_GB2312" w:cs="Times New Roman"/>
          <w:b/>
          <w:bCs w:val="0"/>
          <w:color w:val="auto"/>
          <w:sz w:val="32"/>
          <w:szCs w:val="32"/>
          <w:lang w:eastAsia="zh-CN"/>
        </w:rPr>
      </w:pPr>
      <w:r>
        <w:rPr>
          <w:rFonts w:hint="default" w:ascii="Times New Roman" w:hAnsi="Times New Roman" w:eastAsia="楷体_GB2312" w:cs="Times New Roman"/>
          <w:b/>
          <w:bCs w:val="0"/>
          <w:color w:val="auto"/>
          <w:sz w:val="32"/>
          <w:szCs w:val="32"/>
          <w:lang w:val="en-US" w:eastAsia="zh-CN"/>
        </w:rPr>
        <w:t>（三）</w:t>
      </w:r>
      <w:r>
        <w:rPr>
          <w:rFonts w:hint="default" w:ascii="Times New Roman" w:hAnsi="Times New Roman" w:eastAsia="楷体_GB2312" w:cs="Times New Roman"/>
          <w:b/>
          <w:bCs w:val="0"/>
          <w:color w:val="auto"/>
          <w:sz w:val="32"/>
          <w:szCs w:val="32"/>
          <w:lang w:eastAsia="zh-CN"/>
        </w:rPr>
        <w:t>政府信息管理</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sz w:val="32"/>
          <w:szCs w:val="32"/>
          <w:lang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一是进一步完善信息公开长效机制。按照</w:t>
      </w:r>
      <w:r>
        <w:rPr>
          <w:rFonts w:hint="eastAsia" w:eastAsia="仿宋_GB2312" w:cs="Times New Roman"/>
          <w:color w:val="000000" w:themeColor="text1"/>
          <w:sz w:val="32"/>
          <w:szCs w:val="32"/>
          <w:shd w:val="clear" w:color="auto" w:fill="FFFFFF"/>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政务公开办要求，及时进行信息公开，做好政府网站信息公开年度报表统计工作，提升政府信息公开水平。二是规范建立健全政府信息管理动态调整机制。我局严格按照公开保密审查程序，建立健全了信息公开保密审查机制，凡对外公开的信息，都经过审核后再公开，确保政府信息规范管理。</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楷体_GB2312" w:cs="Times New Roman"/>
          <w:b/>
          <w:bCs w:val="0"/>
          <w:color w:val="auto"/>
          <w:sz w:val="32"/>
          <w:szCs w:val="32"/>
          <w:lang w:eastAsia="zh-CN"/>
        </w:rPr>
      </w:pPr>
      <w:r>
        <w:rPr>
          <w:rFonts w:hint="default" w:ascii="Times New Roman" w:hAnsi="Times New Roman" w:eastAsia="楷体_GB2312" w:cs="Times New Roman"/>
          <w:b/>
          <w:bCs w:val="0"/>
          <w:color w:val="auto"/>
          <w:sz w:val="32"/>
          <w:szCs w:val="32"/>
          <w:lang w:val="en-US" w:eastAsia="zh-CN"/>
        </w:rPr>
        <w:t>（四）政府信息公开</w:t>
      </w:r>
      <w:r>
        <w:rPr>
          <w:rFonts w:hint="default" w:ascii="Times New Roman" w:hAnsi="Times New Roman" w:eastAsia="楷体_GB2312" w:cs="Times New Roman"/>
          <w:b/>
          <w:bCs w:val="0"/>
          <w:color w:val="auto"/>
          <w:sz w:val="32"/>
          <w:szCs w:val="32"/>
          <w:lang w:eastAsia="zh-CN"/>
        </w:rPr>
        <w:t>平台建设</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依托“枣庄市市中区人民政府网站”“政府信息公开专栏”“农业农村局微信公众号”等平台及时发布乡村振兴工作信息，宣传乡村振兴政策法规。</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楷体_GB2312" w:cs="Times New Roman"/>
          <w:b/>
          <w:bCs w:val="0"/>
          <w:color w:val="auto"/>
          <w:sz w:val="32"/>
          <w:szCs w:val="32"/>
          <w:lang w:val="en-US" w:eastAsia="zh-CN"/>
        </w:rPr>
      </w:pPr>
      <w:r>
        <w:rPr>
          <w:rFonts w:hint="default" w:ascii="Times New Roman" w:hAnsi="Times New Roman" w:eastAsia="楷体_GB2312" w:cs="Times New Roman"/>
          <w:b/>
          <w:bCs w:val="0"/>
          <w:color w:val="auto"/>
          <w:sz w:val="32"/>
          <w:szCs w:val="32"/>
          <w:lang w:val="en-US" w:eastAsia="zh-CN"/>
        </w:rPr>
        <w:t>（五）监督保障</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645"/>
        <w:textAlignment w:val="auto"/>
        <w:rPr>
          <w:rFonts w:hint="default" w:ascii="Times New Roman" w:hAnsi="Times New Roman" w:eastAsia="仿宋_GB2312" w:cs="Times New Roman"/>
          <w:color w:val="000000" w:themeColor="text1"/>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bidi="ar-SA"/>
          <w14:textFill>
            <w14:solidFill>
              <w14:schemeClr w14:val="tx1"/>
            </w14:solidFill>
          </w14:textFill>
        </w:rPr>
        <w:t>我局根据工作需要及时调整政务公开领导小组。由局长担任领导小组组长，各分管副局长担任副组长，具体工作由局办公室承担，专门安排一名负责网站的建设和日常维护，由各科室确定一名同志负责本科室信息的提供和报送工作，健全了组织领导机制明确了分工，夯实了责任，使各项工作落到实处。</w:t>
      </w:r>
    </w:p>
    <w:p>
      <w:pPr>
        <w:pStyle w:val="9"/>
        <w:keepNext w:val="0"/>
        <w:keepLines w:val="0"/>
        <w:pageBreakBefore w:val="0"/>
        <w:kinsoku/>
        <w:wordWrap/>
        <w:overflowPunct/>
        <w:topLinePunct w:val="0"/>
        <w:autoSpaceDE/>
        <w:autoSpaceDN/>
        <w:bidi w:val="0"/>
        <w:adjustRightInd/>
        <w:snapToGrid/>
        <w:spacing w:line="560" w:lineRule="exact"/>
        <w:ind w:firstLine="580"/>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
          <w:bCs w:val="0"/>
          <w:color w:val="auto"/>
          <w:sz w:val="32"/>
          <w:szCs w:val="32"/>
          <w:lang w:val="en-US" w:eastAsia="zh-CN"/>
        </w:rPr>
        <w:t>二、</w:t>
      </w:r>
      <w:r>
        <w:rPr>
          <w:rFonts w:hint="default" w:ascii="Times New Roman" w:hAnsi="Times New Roman" w:eastAsia="黑体" w:cs="Times New Roman"/>
          <w:b/>
          <w:bCs w:val="0"/>
          <w:color w:val="auto"/>
          <w:sz w:val="32"/>
          <w:szCs w:val="32"/>
        </w:rPr>
        <w:t>主动公开政府信息情况</w:t>
      </w:r>
    </w:p>
    <w:tbl>
      <w:tblPr>
        <w:tblStyle w:val="4"/>
        <w:tblW w:w="8824" w:type="dxa"/>
        <w:tblInd w:w="0" w:type="dxa"/>
        <w:tblLayout w:type="fixed"/>
        <w:tblCellMar>
          <w:top w:w="0" w:type="dxa"/>
          <w:left w:w="108" w:type="dxa"/>
          <w:bottom w:w="0" w:type="dxa"/>
          <w:right w:w="108" w:type="dxa"/>
        </w:tblCellMar>
      </w:tblPr>
      <w:tblGrid>
        <w:gridCol w:w="2206"/>
        <w:gridCol w:w="2206"/>
        <w:gridCol w:w="2206"/>
        <w:gridCol w:w="2206"/>
      </w:tblGrid>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第二十条第（一）项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现行有效件数</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第二十条第（五）项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第二十条第（六）项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18</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第二十条第（八）项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本年收费金额（单位：万元）</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r>
    </w:tbl>
    <w:p>
      <w:pPr>
        <w:pStyle w:val="9"/>
        <w:keepNext w:val="0"/>
        <w:keepLines w:val="0"/>
        <w:pageBreakBefore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
          <w:bCs w:val="0"/>
          <w:color w:val="auto"/>
          <w:sz w:val="32"/>
          <w:szCs w:val="32"/>
          <w:lang w:val="en-US" w:eastAsia="zh-CN"/>
        </w:rPr>
        <w:t>三、</w:t>
      </w:r>
      <w:r>
        <w:rPr>
          <w:rFonts w:hint="default" w:ascii="Times New Roman" w:hAnsi="Times New Roman" w:eastAsia="黑体" w:cs="Times New Roman"/>
          <w:b/>
          <w:bCs w:val="0"/>
          <w:color w:val="auto"/>
          <w:sz w:val="32"/>
          <w:szCs w:val="32"/>
        </w:rPr>
        <w:t>收到和处理政府信息公开申请情况</w:t>
      </w:r>
    </w:p>
    <w:tbl>
      <w:tblPr>
        <w:tblStyle w:val="4"/>
        <w:tblW w:w="991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hint="default" w:ascii="Times New Roman" w:hAnsi="Times New Roman" w:eastAsia="楷体_GB2312" w:cs="Times New Roman"/>
                <w:kern w:val="0"/>
                <w:sz w:val="21"/>
                <w:szCs w:val="21"/>
                <w:lang w:eastAsia="zh-CN" w:bidi="ar-SA"/>
              </w:rPr>
            </w:pPr>
            <w:r>
              <w:rPr>
                <w:rFonts w:hint="default" w:ascii="Times New Roman" w:hAnsi="Times New Roman" w:eastAsia="楷体_GB2312" w:cs="Times New Roman"/>
                <w:kern w:val="0"/>
                <w:sz w:val="21"/>
                <w:szCs w:val="21"/>
                <w:lang w:eastAsia="zh-CN" w:bidi="ar-SA"/>
              </w:rPr>
              <w:t>（本列数据的勾稽关系为：第一项加第二项之和，</w:t>
            </w:r>
          </w:p>
          <w:p>
            <w:pPr>
              <w:widowControl/>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楷体_GB2312" w:cs="Times New Roman"/>
                <w:kern w:val="0"/>
                <w:sz w:val="21"/>
                <w:szCs w:val="21"/>
                <w:lang w:eastAsia="zh-CN" w:bidi="ar-SA"/>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hint="default" w:ascii="Times New Roman" w:hAnsi="Times New Roman" w:eastAsia="仿宋_GB2312" w:cs="Times New Roman"/>
                <w:kern w:val="2"/>
                <w:sz w:val="21"/>
                <w:szCs w:val="21"/>
                <w:lang w:eastAsia="zh-CN" w:bidi="ar-SA"/>
              </w:rPr>
            </w:pPr>
          </w:p>
        </w:tc>
        <w:tc>
          <w:tcPr>
            <w:tcW w:w="829" w:type="dxa"/>
            <w:vMerge w:val="restart"/>
            <w:shd w:val="clear" w:color="auto" w:fill="auto"/>
            <w:tcMar>
              <w:left w:w="108" w:type="dxa"/>
              <w:right w:w="108" w:type="dxa"/>
            </w:tcMar>
            <w:vAlign w:val="center"/>
          </w:tcPr>
          <w:p>
            <w:pPr>
              <w:widowControl/>
              <w:jc w:val="center"/>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自然人</w:t>
            </w:r>
          </w:p>
        </w:tc>
        <w:tc>
          <w:tcPr>
            <w:tcW w:w="3140" w:type="dxa"/>
            <w:gridSpan w:val="5"/>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法人或其他组织</w:t>
            </w:r>
          </w:p>
        </w:tc>
        <w:tc>
          <w:tcPr>
            <w:tcW w:w="851" w:type="dxa"/>
            <w:vMerge w:val="restart"/>
            <w:shd w:val="clear" w:color="auto" w:fill="auto"/>
            <w:tcMar>
              <w:left w:w="108" w:type="dxa"/>
              <w:right w:w="108" w:type="dxa"/>
            </w:tcMar>
            <w:vAlign w:val="center"/>
          </w:tcPr>
          <w:p>
            <w:pPr>
              <w:widowControl/>
              <w:jc w:val="center"/>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hint="default" w:ascii="Times New Roman" w:hAnsi="Times New Roman" w:eastAsia="仿宋_GB2312" w:cs="Times New Roman"/>
                <w:kern w:val="2"/>
                <w:sz w:val="21"/>
                <w:szCs w:val="21"/>
                <w:lang w:eastAsia="zh-CN" w:bidi="ar-SA"/>
              </w:rPr>
            </w:pPr>
          </w:p>
        </w:tc>
        <w:tc>
          <w:tcPr>
            <w:tcW w:w="829" w:type="dxa"/>
            <w:vMerge w:val="continue"/>
            <w:shd w:val="clear" w:color="auto" w:fill="auto"/>
            <w:tcMar>
              <w:left w:w="108" w:type="dxa"/>
              <w:right w:w="108" w:type="dxa"/>
            </w:tcMar>
            <w:vAlign w:val="center"/>
          </w:tcPr>
          <w:p>
            <w:pPr>
              <w:jc w:val="center"/>
              <w:rPr>
                <w:rFonts w:hint="default" w:ascii="Times New Roman" w:hAnsi="Times New Roman" w:eastAsia="黑体" w:cs="Times New Roman"/>
                <w:kern w:val="2"/>
                <w:sz w:val="21"/>
                <w:szCs w:val="21"/>
                <w:lang w:eastAsia="zh-CN" w:bidi="ar-SA"/>
              </w:rPr>
            </w:pPr>
          </w:p>
        </w:tc>
        <w:tc>
          <w:tcPr>
            <w:tcW w:w="567" w:type="dxa"/>
            <w:shd w:val="clear" w:color="auto" w:fill="auto"/>
            <w:tcMar>
              <w:left w:w="108" w:type="dxa"/>
              <w:right w:w="108" w:type="dxa"/>
            </w:tcMar>
            <w:vAlign w:val="center"/>
          </w:tcPr>
          <w:p>
            <w:pPr>
              <w:widowControl/>
              <w:spacing w:line="320" w:lineRule="exact"/>
              <w:ind w:left="-121" w:leftChars="-51" w:right="-122" w:rightChars="-51" w:hanging="1"/>
              <w:jc w:val="center"/>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商业企业</w:t>
            </w:r>
          </w:p>
        </w:tc>
        <w:tc>
          <w:tcPr>
            <w:tcW w:w="567" w:type="dxa"/>
            <w:shd w:val="clear" w:color="auto" w:fill="auto"/>
            <w:tcMar>
              <w:left w:w="108" w:type="dxa"/>
              <w:right w:w="108" w:type="dxa"/>
            </w:tcMar>
            <w:vAlign w:val="center"/>
          </w:tcPr>
          <w:p>
            <w:pPr>
              <w:widowControl/>
              <w:spacing w:line="320" w:lineRule="exact"/>
              <w:ind w:left="-122" w:leftChars="-51" w:right="-122" w:rightChars="-51"/>
              <w:jc w:val="center"/>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科研机构</w:t>
            </w:r>
          </w:p>
        </w:tc>
        <w:tc>
          <w:tcPr>
            <w:tcW w:w="731" w:type="dxa"/>
            <w:shd w:val="clear" w:color="auto" w:fill="auto"/>
            <w:tcMar>
              <w:left w:w="108" w:type="dxa"/>
              <w:right w:w="108" w:type="dxa"/>
            </w:tcMar>
            <w:vAlign w:val="center"/>
          </w:tcPr>
          <w:p>
            <w:pPr>
              <w:widowControl/>
              <w:spacing w:line="320" w:lineRule="exact"/>
              <w:ind w:left="-122" w:leftChars="-51" w:right="-122" w:rightChars="-51"/>
              <w:jc w:val="center"/>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社会公益组织</w:t>
            </w:r>
          </w:p>
        </w:tc>
        <w:tc>
          <w:tcPr>
            <w:tcW w:w="708" w:type="dxa"/>
            <w:shd w:val="clear" w:color="auto" w:fill="auto"/>
            <w:tcMar>
              <w:left w:w="108" w:type="dxa"/>
              <w:right w:w="108" w:type="dxa"/>
            </w:tcMar>
            <w:vAlign w:val="center"/>
          </w:tcPr>
          <w:p>
            <w:pPr>
              <w:widowControl/>
              <w:spacing w:line="320" w:lineRule="exact"/>
              <w:ind w:left="-121" w:leftChars="-51" w:right="-122" w:rightChars="-51" w:hanging="1"/>
              <w:jc w:val="center"/>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法律服务机构</w:t>
            </w:r>
          </w:p>
        </w:tc>
        <w:tc>
          <w:tcPr>
            <w:tcW w:w="567" w:type="dxa"/>
            <w:shd w:val="clear" w:color="auto" w:fill="auto"/>
            <w:tcMar>
              <w:left w:w="108" w:type="dxa"/>
              <w:right w:w="108" w:type="dxa"/>
            </w:tcMar>
            <w:vAlign w:val="center"/>
          </w:tcPr>
          <w:p>
            <w:pPr>
              <w:widowControl/>
              <w:spacing w:line="360" w:lineRule="exact"/>
              <w:ind w:left="-72" w:leftChars="-30" w:right="-154" w:rightChars="-64"/>
              <w:jc w:val="center"/>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其他</w:t>
            </w:r>
          </w:p>
        </w:tc>
        <w:tc>
          <w:tcPr>
            <w:tcW w:w="851" w:type="dxa"/>
            <w:vMerge w:val="continue"/>
            <w:shd w:val="clear" w:color="auto" w:fill="auto"/>
            <w:tcMar>
              <w:left w:w="108" w:type="dxa"/>
              <w:right w:w="108" w:type="dxa"/>
            </w:tcMar>
            <w:vAlign w:val="center"/>
          </w:tcPr>
          <w:p>
            <w:pPr>
              <w:jc w:val="center"/>
              <w:rPr>
                <w:rFonts w:hint="default" w:ascii="Times New Roman" w:hAnsi="Times New Roman" w:eastAsia="仿宋_GB2312" w:cs="Times New Roman"/>
                <w:kern w:val="2"/>
                <w:sz w:val="21"/>
                <w:szCs w:val="21"/>
                <w:lang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jc w:val="both"/>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一、</w:t>
            </w:r>
            <w:bookmarkStart w:id="0" w:name="_Hlk66973412"/>
            <w:r>
              <w:rPr>
                <w:rFonts w:hint="default" w:ascii="Times New Roman" w:hAnsi="Times New Roman" w:eastAsia="黑体" w:cs="Times New Roman"/>
                <w:kern w:val="0"/>
                <w:sz w:val="21"/>
                <w:szCs w:val="21"/>
                <w:lang w:eastAsia="zh-CN" w:bidi="ar-SA"/>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1</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1</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jc w:val="both"/>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jc w:val="both"/>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三、本年度办理结果</w:t>
            </w:r>
          </w:p>
        </w:tc>
        <w:tc>
          <w:tcPr>
            <w:tcW w:w="4677" w:type="dxa"/>
            <w:gridSpan w:val="2"/>
            <w:shd w:val="clear" w:color="auto" w:fill="auto"/>
            <w:tcMar>
              <w:left w:w="108" w:type="dxa"/>
              <w:right w:w="108" w:type="dxa"/>
            </w:tcMar>
            <w:vAlign w:val="center"/>
          </w:tcPr>
          <w:p>
            <w:pPr>
              <w:widowControl/>
              <w:jc w:val="both"/>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（一）予以公开</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4677" w:type="dxa"/>
            <w:gridSpan w:val="2"/>
            <w:shd w:val="clear" w:color="auto" w:fill="auto"/>
            <w:tcMar>
              <w:left w:w="108" w:type="dxa"/>
              <w:right w:w="108" w:type="dxa"/>
            </w:tcMar>
            <w:vAlign w:val="center"/>
          </w:tcPr>
          <w:p>
            <w:pPr>
              <w:widowControl/>
              <w:jc w:val="both"/>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（二）部分公开（</w:t>
            </w:r>
            <w:bookmarkStart w:id="1" w:name="_Hlk66973981"/>
            <w:r>
              <w:rPr>
                <w:rFonts w:hint="default" w:ascii="Times New Roman" w:hAnsi="Times New Roman" w:eastAsia="黑体" w:cs="Times New Roman"/>
                <w:kern w:val="0"/>
                <w:sz w:val="21"/>
                <w:szCs w:val="21"/>
                <w:lang w:eastAsia="zh-CN" w:bidi="ar-SA"/>
              </w:rPr>
              <w:t>区分处理的，只计这一情形，不计其他情形</w:t>
            </w:r>
            <w:bookmarkEnd w:id="1"/>
            <w:r>
              <w:rPr>
                <w:rFonts w:hint="default" w:ascii="Times New Roman" w:hAnsi="Times New Roman" w:eastAsia="黑体" w:cs="Times New Roman"/>
                <w:kern w:val="0"/>
                <w:sz w:val="21"/>
                <w:szCs w:val="21"/>
                <w:lang w:eastAsia="zh-CN" w:bidi="ar-SA"/>
              </w:rPr>
              <w:t>）</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pPr>
              <w:widowControl/>
              <w:spacing w:line="200" w:lineRule="exact"/>
              <w:ind w:left="-122" w:leftChars="-51"/>
              <w:jc w:val="both"/>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（三）不予公开</w:t>
            </w: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2.</w:t>
            </w:r>
            <w:bookmarkStart w:id="2" w:name="_Hlk66974104"/>
            <w:r>
              <w:rPr>
                <w:rFonts w:hint="default" w:ascii="Times New Roman" w:hAnsi="Times New Roman" w:eastAsia="仿宋_GB2312" w:cs="Times New Roman"/>
                <w:kern w:val="0"/>
                <w:sz w:val="21"/>
                <w:szCs w:val="21"/>
                <w:lang w:eastAsia="zh-CN" w:bidi="ar-SA"/>
              </w:rPr>
              <w:t>其他法律行政法规禁止公开</w:t>
            </w:r>
            <w:bookmarkEnd w:id="2"/>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4.</w:t>
            </w:r>
            <w:bookmarkStart w:id="3" w:name="_Hlk66974290"/>
            <w:r>
              <w:rPr>
                <w:rFonts w:hint="default" w:ascii="Times New Roman" w:hAnsi="Times New Roman" w:eastAsia="仿宋_GB2312" w:cs="Times New Roman"/>
                <w:kern w:val="0"/>
                <w:sz w:val="21"/>
                <w:szCs w:val="21"/>
                <w:lang w:eastAsia="zh-CN" w:bidi="ar-SA"/>
              </w:rPr>
              <w:t>保护第三方合法权益</w:t>
            </w:r>
            <w:bookmarkEnd w:id="3"/>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6.</w:t>
            </w:r>
            <w:bookmarkStart w:id="4" w:name="_Hlk66974555"/>
            <w:r>
              <w:rPr>
                <w:rFonts w:hint="default" w:ascii="Times New Roman" w:hAnsi="Times New Roman" w:eastAsia="仿宋_GB2312" w:cs="Times New Roman"/>
                <w:kern w:val="0"/>
                <w:sz w:val="21"/>
                <w:szCs w:val="21"/>
                <w:lang w:eastAsia="zh-CN" w:bidi="ar-SA"/>
              </w:rPr>
              <w:t>属于四类过程性信息</w:t>
            </w:r>
            <w:bookmarkEnd w:id="4"/>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8.</w:t>
            </w:r>
            <w:bookmarkStart w:id="5" w:name="_Hlk66975211"/>
            <w:r>
              <w:rPr>
                <w:rFonts w:hint="default" w:ascii="Times New Roman" w:hAnsi="Times New Roman" w:eastAsia="仿宋_GB2312" w:cs="Times New Roman"/>
                <w:kern w:val="0"/>
                <w:sz w:val="21"/>
                <w:szCs w:val="21"/>
                <w:lang w:eastAsia="zh-CN" w:bidi="ar-SA"/>
              </w:rPr>
              <w:t>属于行政查询事项</w:t>
            </w:r>
            <w:bookmarkEnd w:id="5"/>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pPr>
              <w:widowControl/>
              <w:spacing w:line="200" w:lineRule="exact"/>
              <w:ind w:left="-122" w:leftChars="-51"/>
              <w:jc w:val="both"/>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（四）无法提供</w:t>
            </w: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1</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ind w:left="-122" w:leftChars="-51"/>
              <w:jc w:val="both"/>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2.</w:t>
            </w:r>
            <w:bookmarkStart w:id="6" w:name="_Hlk66975392"/>
            <w:r>
              <w:rPr>
                <w:rFonts w:hint="default" w:ascii="Times New Roman" w:hAnsi="Times New Roman" w:eastAsia="仿宋_GB2312" w:cs="Times New Roman"/>
                <w:kern w:val="0"/>
                <w:sz w:val="21"/>
                <w:szCs w:val="21"/>
                <w:lang w:eastAsia="zh-CN" w:bidi="ar-SA"/>
              </w:rPr>
              <w:t>没有现成信息需要另行制作</w:t>
            </w:r>
            <w:bookmarkEnd w:id="6"/>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ind w:left="-122" w:leftChars="-51"/>
              <w:jc w:val="both"/>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3.</w:t>
            </w:r>
            <w:bookmarkStart w:id="7" w:name="_Hlk66975466"/>
            <w:r>
              <w:rPr>
                <w:rFonts w:hint="default" w:ascii="Times New Roman" w:hAnsi="Times New Roman" w:eastAsia="仿宋_GB2312" w:cs="Times New Roman"/>
                <w:kern w:val="0"/>
                <w:sz w:val="21"/>
                <w:szCs w:val="21"/>
                <w:lang w:eastAsia="zh-CN" w:bidi="ar-SA"/>
              </w:rPr>
              <w:t>补正后申请内容仍不明确</w:t>
            </w:r>
            <w:bookmarkEnd w:id="7"/>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pPr>
              <w:widowControl/>
              <w:spacing w:line="200" w:lineRule="exact"/>
              <w:ind w:left="-122" w:leftChars="-51"/>
              <w:jc w:val="both"/>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（五）不予处理</w:t>
            </w: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1.</w:t>
            </w:r>
            <w:bookmarkStart w:id="8" w:name="_Hlk66975537"/>
            <w:r>
              <w:rPr>
                <w:rFonts w:hint="default" w:ascii="Times New Roman" w:hAnsi="Times New Roman" w:eastAsia="仿宋_GB2312" w:cs="Times New Roman"/>
                <w:kern w:val="0"/>
                <w:sz w:val="21"/>
                <w:szCs w:val="21"/>
                <w:lang w:eastAsia="zh-CN" w:bidi="ar-SA"/>
              </w:rPr>
              <w:t>信访举报投诉类申请</w:t>
            </w:r>
            <w:bookmarkEnd w:id="8"/>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2.重复申请</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0"/>
                <w:sz w:val="21"/>
                <w:szCs w:val="21"/>
                <w:lang w:eastAsia="zh-CN" w:bidi="ar-SA"/>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0"/>
                <w:sz w:val="21"/>
                <w:szCs w:val="21"/>
                <w:lang w:eastAsia="zh-CN" w:bidi="ar-SA"/>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hint="default" w:ascii="Times New Roman" w:hAnsi="Times New Roman"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3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5.要求行政机关确认或重新</w:t>
            </w:r>
          </w:p>
          <w:p>
            <w:pPr>
              <w:widowControl/>
              <w:spacing w:line="300" w:lineRule="exact"/>
              <w:ind w:firstLine="210" w:firstLineChars="100"/>
              <w:jc w:val="both"/>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0"/>
                <w:sz w:val="21"/>
                <w:szCs w:val="21"/>
                <w:lang w:eastAsia="zh-CN" w:bidi="ar-SA"/>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pPr>
              <w:widowControl/>
              <w:spacing w:line="300" w:lineRule="exact"/>
              <w:jc w:val="both"/>
              <w:rPr>
                <w:rFonts w:hint="default" w:ascii="Times New Roman" w:hAnsi="Times New Roman" w:eastAsia="黑体" w:cs="Times New Roman"/>
                <w:kern w:val="0"/>
                <w:sz w:val="21"/>
                <w:szCs w:val="21"/>
                <w:lang w:eastAsia="zh-CN" w:bidi="ar-SA"/>
              </w:rPr>
            </w:pPr>
            <w:r>
              <w:rPr>
                <w:rFonts w:hint="default" w:ascii="Times New Roman" w:hAnsi="Times New Roman" w:eastAsia="黑体" w:cs="Times New Roman"/>
                <w:kern w:val="0"/>
                <w:sz w:val="21"/>
                <w:szCs w:val="21"/>
                <w:lang w:eastAsia="zh-CN" w:bidi="ar-SA"/>
              </w:rPr>
              <w:t>（六）其他处理</w:t>
            </w:r>
          </w:p>
        </w:tc>
        <w:tc>
          <w:tcPr>
            <w:tcW w:w="2976" w:type="dxa"/>
            <w:shd w:val="clear" w:color="auto" w:fill="auto"/>
            <w:vAlign w:val="center"/>
          </w:tcPr>
          <w:p>
            <w:pPr>
              <w:widowControl/>
              <w:spacing w:line="300" w:lineRule="exact"/>
              <w:jc w:val="both"/>
              <w:rPr>
                <w:rFonts w:hint="default" w:ascii="Times New Roman" w:hAnsi="Times New Roman" w:eastAsia="仿宋_GB2312" w:cs="Times New Roman"/>
                <w:kern w:val="2"/>
                <w:sz w:val="21"/>
                <w:szCs w:val="22"/>
                <w:lang w:eastAsia="zh-CN" w:bidi="ar-SA"/>
              </w:rPr>
            </w:pPr>
            <w:r>
              <w:rPr>
                <w:rFonts w:hint="default" w:ascii="Times New Roman" w:hAnsi="Times New Roman" w:eastAsia="仿宋_GB2312" w:cs="Times New Roman"/>
                <w:kern w:val="2"/>
                <w:sz w:val="21"/>
                <w:szCs w:val="22"/>
                <w:lang w:eastAsia="zh-CN" w:bidi="ar-SA"/>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widowControl/>
              <w:spacing w:line="300" w:lineRule="exact"/>
              <w:jc w:val="both"/>
              <w:rPr>
                <w:rFonts w:hint="default" w:ascii="Times New Roman" w:hAnsi="Times New Roman" w:eastAsia="黑体" w:cs="Times New Roman"/>
                <w:kern w:val="0"/>
                <w:sz w:val="21"/>
                <w:szCs w:val="21"/>
                <w:lang w:eastAsia="zh-CN" w:bidi="ar-SA"/>
              </w:rPr>
            </w:pPr>
          </w:p>
        </w:tc>
        <w:tc>
          <w:tcPr>
            <w:tcW w:w="2976" w:type="dxa"/>
            <w:shd w:val="clear" w:color="auto" w:fill="auto"/>
            <w:vAlign w:val="center"/>
          </w:tcPr>
          <w:p>
            <w:pPr>
              <w:widowControl/>
              <w:spacing w:line="3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2"/>
                <w:sz w:val="21"/>
                <w:szCs w:val="22"/>
                <w:lang w:eastAsia="zh-CN" w:bidi="ar-SA"/>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widowControl/>
              <w:spacing w:line="300" w:lineRule="exact"/>
              <w:jc w:val="both"/>
              <w:rPr>
                <w:rFonts w:hint="default" w:ascii="Times New Roman" w:hAnsi="Times New Roman" w:eastAsia="黑体" w:cs="Times New Roman"/>
                <w:kern w:val="0"/>
                <w:sz w:val="21"/>
                <w:szCs w:val="21"/>
                <w:lang w:eastAsia="zh-CN" w:bidi="ar-SA"/>
              </w:rPr>
            </w:pPr>
          </w:p>
        </w:tc>
        <w:tc>
          <w:tcPr>
            <w:tcW w:w="2976" w:type="dxa"/>
            <w:shd w:val="clear" w:color="auto" w:fill="auto"/>
            <w:vAlign w:val="center"/>
          </w:tcPr>
          <w:p>
            <w:pPr>
              <w:widowControl/>
              <w:spacing w:line="300" w:lineRule="exact"/>
              <w:jc w:val="both"/>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2"/>
                <w:sz w:val="21"/>
                <w:szCs w:val="22"/>
                <w:lang w:eastAsia="zh-CN" w:bidi="ar-SA"/>
              </w:rPr>
              <w:t>3.其他</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4677" w:type="dxa"/>
            <w:gridSpan w:val="2"/>
            <w:shd w:val="clear" w:color="auto" w:fill="auto"/>
            <w:tcMar>
              <w:left w:w="108" w:type="dxa"/>
              <w:right w:w="108" w:type="dxa"/>
            </w:tcMar>
            <w:vAlign w:val="center"/>
          </w:tcPr>
          <w:p>
            <w:pPr>
              <w:widowControl/>
              <w:spacing w:line="300" w:lineRule="exact"/>
              <w:jc w:val="both"/>
              <w:rPr>
                <w:rFonts w:hint="default" w:ascii="Times New Roman" w:hAnsi="Times New Roman" w:eastAsia="黑体" w:cs="Times New Roman"/>
                <w:kern w:val="0"/>
                <w:sz w:val="21"/>
                <w:szCs w:val="21"/>
                <w:lang w:eastAsia="zh-CN" w:bidi="ar-SA"/>
              </w:rPr>
            </w:pPr>
            <w:r>
              <w:rPr>
                <w:rFonts w:hint="default" w:ascii="Times New Roman" w:hAnsi="Times New Roman" w:eastAsia="黑体" w:cs="Times New Roman"/>
                <w:kern w:val="0"/>
                <w:sz w:val="21"/>
                <w:szCs w:val="21"/>
                <w:lang w:eastAsia="zh-CN" w:bidi="ar-SA"/>
              </w:rPr>
              <w:t>（七）总计</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eastAsia="zh-CN" w:bidi="ar-SA"/>
              </w:rPr>
            </w:pPr>
            <w:r>
              <w:rPr>
                <w:rFonts w:hint="eastAsia" w:eastAsia="仿宋_GB2312" w:cs="Times New Roman"/>
                <w:kern w:val="2"/>
                <w:sz w:val="21"/>
                <w:szCs w:val="21"/>
                <w:lang w:val="en-US" w:eastAsia="zh-CN" w:bidi="ar-SA"/>
              </w:rPr>
              <w:t>1</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eastAsia" w:eastAsia="仿宋_GB2312" w:cs="Times New Roman"/>
                <w:kern w:val="2"/>
                <w:sz w:val="21"/>
                <w:szCs w:val="21"/>
                <w:lang w:val="en-US" w:eastAsia="zh-CN" w:bidi="ar-SA"/>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jc w:val="both"/>
              <w:rPr>
                <w:rFonts w:hint="default" w:ascii="Times New Roman" w:hAnsi="Times New Roman" w:eastAsia="黑体" w:cs="Times New Roman"/>
                <w:kern w:val="0"/>
                <w:sz w:val="21"/>
                <w:szCs w:val="21"/>
                <w:lang w:eastAsia="zh-CN" w:bidi="ar-SA"/>
              </w:rPr>
            </w:pPr>
            <w:r>
              <w:rPr>
                <w:rFonts w:hint="default" w:ascii="Times New Roman" w:hAnsi="Times New Roman" w:eastAsia="黑体" w:cs="Times New Roman"/>
                <w:kern w:val="0"/>
                <w:sz w:val="21"/>
                <w:szCs w:val="21"/>
                <w:lang w:eastAsia="zh-CN" w:bidi="ar-SA"/>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val="en-US" w:eastAsia="zh-CN" w:bidi="ar-SA"/>
              </w:rPr>
              <w:t>0</w:t>
            </w:r>
          </w:p>
        </w:tc>
      </w:tr>
    </w:tbl>
    <w:p>
      <w:pPr>
        <w:pStyle w:val="9"/>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
          <w:bCs w:val="0"/>
          <w:color w:val="auto"/>
          <w:sz w:val="32"/>
          <w:szCs w:val="32"/>
          <w:lang w:val="en-US" w:eastAsia="zh-CN"/>
        </w:rPr>
        <w:t>四、</w:t>
      </w:r>
      <w:r>
        <w:rPr>
          <w:rFonts w:hint="default" w:ascii="Times New Roman" w:hAnsi="Times New Roman" w:eastAsia="黑体" w:cs="Times New Roman"/>
          <w:b/>
          <w:bCs w:val="0"/>
          <w:color w:val="auto"/>
          <w:sz w:val="32"/>
          <w:szCs w:val="32"/>
        </w:rPr>
        <w:t>政府信息公开行政复议、行政诉讼情况</w:t>
      </w:r>
    </w:p>
    <w:tbl>
      <w:tblPr>
        <w:tblStyle w:val="4"/>
        <w:tblW w:w="8737" w:type="dxa"/>
        <w:jc w:val="center"/>
        <w:tblInd w:w="0" w:type="dxa"/>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tblPrEx>
          <w:tblLayout w:type="fixed"/>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行政诉讼</w:t>
            </w:r>
          </w:p>
        </w:tc>
      </w:tr>
      <w:tr>
        <w:tblPrEx>
          <w:tblLayout w:type="fixed"/>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维持</w:t>
            </w:r>
          </w:p>
        </w:tc>
        <w:tc>
          <w:tcPr>
            <w:tcW w:w="629"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纠正</w:t>
            </w: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 结果</w:t>
            </w: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尚未 审结</w:t>
            </w:r>
          </w:p>
        </w:tc>
        <w:tc>
          <w:tcPr>
            <w:tcW w:w="562" w:type="dxa"/>
            <w:vMerge w:val="restart"/>
            <w:tcBorders>
              <w:top w:val="single" w:color="auto" w:sz="4" w:space="0"/>
              <w:left w:val="single" w:color="auto" w:sz="4" w:space="0"/>
            </w:tcBorders>
            <w:shd w:val="clear" w:color="auto" w:fill="FFFFFF"/>
            <w:textDirection w:val="tbRlV"/>
            <w:vAlign w:val="bottom"/>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hint="default" w:ascii="Times New Roman" w:hAnsi="Times New Roman" w:cs="Times New Roman"/>
                <w:color w:val="auto"/>
              </w:rPr>
            </w:pPr>
            <w:r>
              <w:rPr>
                <w:rFonts w:hint="default" w:ascii="Times New Roman" w:hAnsi="Times New Roman" w:cs="Times New Roman"/>
                <w:color w:val="auto"/>
              </w:rPr>
              <w:t>总计</w:t>
            </w:r>
          </w:p>
        </w:tc>
        <w:tc>
          <w:tcPr>
            <w:tcW w:w="2827"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复议后起诉</w:t>
            </w:r>
          </w:p>
        </w:tc>
      </w:tr>
      <w:tr>
        <w:tblPrEx>
          <w:tblLayout w:type="fixed"/>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rPr>
            </w:pPr>
          </w:p>
        </w:tc>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rPr>
            </w:pPr>
          </w:p>
        </w:tc>
        <w:tc>
          <w:tcPr>
            <w:tcW w:w="562" w:type="dxa"/>
            <w:vMerge w:val="continue"/>
            <w:tcBorders>
              <w:left w:val="single" w:color="auto" w:sz="4" w:space="0"/>
            </w:tcBorders>
            <w:shd w:val="clear" w:color="auto" w:fill="FFFFFF"/>
            <w:textDirection w:val="tbRlV"/>
            <w:vAlign w:val="bottom"/>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rPr>
            </w:pP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尚未 审结</w:t>
            </w:r>
          </w:p>
        </w:tc>
        <w:tc>
          <w:tcPr>
            <w:tcW w:w="566" w:type="dxa"/>
            <w:tcBorders>
              <w:top w:val="single" w:color="auto" w:sz="4" w:space="0"/>
              <w:left w:val="single" w:color="auto" w:sz="4" w:space="0"/>
            </w:tcBorders>
            <w:shd w:val="clear" w:color="auto" w:fill="FFFFFF"/>
            <w:textDirection w:val="tbRlV"/>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hint="default" w:ascii="Times New Roman" w:hAnsi="Times New Roman" w:cs="Times New Roman"/>
                <w:color w:val="auto"/>
              </w:rPr>
            </w:pPr>
            <w:r>
              <w:rPr>
                <w:rFonts w:hint="default" w:ascii="Times New Roman" w:hAnsi="Times New Roman" w:cs="Times New Roman"/>
                <w:color w:val="auto"/>
              </w:rPr>
              <w:t>总计</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尚未 审结</w:t>
            </w:r>
          </w:p>
        </w:tc>
        <w:tc>
          <w:tcPr>
            <w:tcW w:w="581" w:type="dxa"/>
            <w:tcBorders>
              <w:top w:val="single" w:color="auto" w:sz="4" w:space="0"/>
              <w:left w:val="single" w:color="auto" w:sz="4" w:space="0"/>
              <w:right w:val="single" w:color="auto" w:sz="4" w:space="0"/>
            </w:tcBorders>
            <w:shd w:val="clear" w:color="auto" w:fill="FFFFFF"/>
            <w:textDirection w:val="tbRlV"/>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hint="default" w:ascii="Times New Roman" w:hAnsi="Times New Roman" w:cs="Times New Roman"/>
                <w:color w:val="auto"/>
              </w:rPr>
            </w:pPr>
            <w:r>
              <w:rPr>
                <w:rFonts w:hint="default" w:ascii="Times New Roman" w:hAnsi="Times New Roman" w:cs="Times New Roman"/>
                <w:color w:val="auto"/>
              </w:rPr>
              <w:t>总计</w:t>
            </w:r>
          </w:p>
        </w:tc>
      </w:tr>
      <w:tr>
        <w:tblPrEx>
          <w:tblLayout w:type="fixed"/>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仿宋_GB2312" w:cs="Times New Roman"/>
                <w:kern w:val="2"/>
                <w:sz w:val="21"/>
                <w:szCs w:val="21"/>
                <w:lang w:val="en-US" w:eastAsia="zh-CN" w:bidi="ar-SA"/>
              </w:rPr>
              <w:t>0</w:t>
            </w:r>
          </w:p>
        </w:tc>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仿宋_GB2312" w:cs="Times New Roman"/>
                <w:kern w:val="2"/>
                <w:sz w:val="21"/>
                <w:szCs w:val="21"/>
                <w:lang w:val="en-US" w:eastAsia="zh-CN" w:bidi="ar-SA"/>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仿宋_GB2312" w:cs="Times New Roman"/>
                <w:kern w:val="2"/>
                <w:sz w:val="21"/>
                <w:szCs w:val="21"/>
                <w:lang w:val="en-US" w:eastAsia="zh-CN" w:bidi="ar-SA"/>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仿宋_GB2312" w:cs="Times New Roman"/>
                <w:kern w:val="2"/>
                <w:sz w:val="21"/>
                <w:szCs w:val="21"/>
                <w:lang w:val="en-US" w:eastAsia="zh-CN" w:bidi="ar-SA"/>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仿宋_GB2312" w:cs="Times New Roman"/>
                <w:kern w:val="2"/>
                <w:sz w:val="21"/>
                <w:szCs w:val="21"/>
                <w:lang w:val="en-US" w:eastAsia="zh-CN" w:bidi="ar-SA"/>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仿宋_GB2312" w:cs="Times New Roman"/>
                <w:kern w:val="2"/>
                <w:sz w:val="21"/>
                <w:szCs w:val="21"/>
                <w:lang w:val="en-US" w:eastAsia="zh-CN" w:bidi="ar-SA"/>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仿宋_GB2312" w:cs="Times New Roman"/>
                <w:kern w:val="2"/>
                <w:sz w:val="21"/>
                <w:szCs w:val="21"/>
                <w:lang w:val="en-US" w:eastAsia="zh-CN" w:bidi="ar-SA"/>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仿宋_GB2312" w:cs="Times New Roman"/>
                <w:kern w:val="2"/>
                <w:sz w:val="21"/>
                <w:szCs w:val="21"/>
                <w:lang w:val="en-US" w:eastAsia="zh-CN" w:bidi="ar-SA"/>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仿宋_GB2312" w:cs="Times New Roman"/>
                <w:kern w:val="2"/>
                <w:sz w:val="21"/>
                <w:szCs w:val="21"/>
                <w:lang w:val="en-US" w:eastAsia="zh-CN" w:bidi="ar-SA"/>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仿宋_GB2312" w:cs="Times New Roman"/>
                <w:kern w:val="2"/>
                <w:sz w:val="21"/>
                <w:szCs w:val="21"/>
                <w:lang w:val="en-US" w:eastAsia="zh-CN" w:bidi="ar-SA"/>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仿宋_GB2312" w:cs="Times New Roman"/>
                <w:kern w:val="2"/>
                <w:sz w:val="21"/>
                <w:szCs w:val="21"/>
                <w:lang w:val="en-US" w:eastAsia="zh-CN" w:bidi="ar-SA"/>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仿宋_GB2312" w:cs="Times New Roman"/>
                <w:kern w:val="2"/>
                <w:sz w:val="21"/>
                <w:szCs w:val="21"/>
                <w:lang w:val="en-US" w:eastAsia="zh-CN" w:bidi="ar-SA"/>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仿宋_GB2312" w:cs="Times New Roman"/>
                <w:kern w:val="2"/>
                <w:sz w:val="21"/>
                <w:szCs w:val="21"/>
                <w:lang w:val="en-US" w:eastAsia="zh-CN" w:bidi="ar-SA"/>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仿宋_GB2312" w:cs="Times New Roman"/>
                <w:kern w:val="2"/>
                <w:sz w:val="21"/>
                <w:szCs w:val="21"/>
                <w:lang w:val="en-US" w:eastAsia="zh-CN" w:bidi="ar-SA"/>
              </w:rPr>
              <w:t>0</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仿宋_GB2312" w:cs="Times New Roman"/>
                <w:kern w:val="2"/>
                <w:sz w:val="21"/>
                <w:szCs w:val="21"/>
                <w:lang w:val="en-US" w:eastAsia="zh-CN" w:bidi="ar-SA"/>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黑体" w:cs="Times New Roman"/>
          <w:color w:val="auto"/>
          <w:sz w:val="32"/>
          <w:szCs w:val="32"/>
          <w:lang w:eastAsia="zh-CN" w:bidi="ar-SA"/>
        </w:rPr>
      </w:pPr>
      <w:r>
        <w:rPr>
          <w:rFonts w:hint="default" w:ascii="Times New Roman" w:hAnsi="Times New Roman" w:eastAsia="黑体" w:cs="Times New Roman"/>
          <w:b/>
          <w:bCs/>
          <w:color w:val="auto"/>
          <w:sz w:val="32"/>
          <w:szCs w:val="32"/>
          <w:lang w:val="en-US" w:eastAsia="zh-CN" w:bidi="ar-SA"/>
        </w:rPr>
        <w:t>五、</w:t>
      </w:r>
      <w:r>
        <w:rPr>
          <w:rFonts w:hint="default" w:ascii="Times New Roman" w:hAnsi="Times New Roman" w:eastAsia="黑体" w:cs="Times New Roman"/>
          <w:b/>
          <w:bCs/>
          <w:color w:val="auto"/>
          <w:sz w:val="32"/>
          <w:szCs w:val="32"/>
          <w:lang w:eastAsia="zh-CN" w:bidi="ar-SA"/>
        </w:rPr>
        <w:t>存在的主要问题及改进情况</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30"/>
        <w:textAlignment w:val="auto"/>
        <w:rPr>
          <w:rFonts w:hint="eastAsia" w:ascii="仿宋_GB2312" w:hAnsi="仿宋_GB2312" w:eastAsia="仿宋_GB2312" w:cs="仿宋_GB2312"/>
          <w:b w:val="0"/>
          <w:bCs w:val="0"/>
          <w:color w:val="auto"/>
          <w:sz w:val="32"/>
          <w:szCs w:val="32"/>
          <w:lang w:val="en-US" w:eastAsia="zh-CN" w:bidi="zh-TW"/>
        </w:rPr>
      </w:pPr>
      <w:r>
        <w:rPr>
          <w:rFonts w:hint="eastAsia" w:ascii="仿宋_GB2312" w:hAnsi="仿宋_GB2312" w:eastAsia="仿宋_GB2312" w:cs="仿宋_GB2312"/>
          <w:b w:val="0"/>
          <w:bCs w:val="0"/>
          <w:color w:val="auto"/>
          <w:sz w:val="32"/>
          <w:szCs w:val="32"/>
          <w:lang w:val="en-US" w:eastAsia="zh-CN" w:bidi="zh-TW"/>
        </w:rPr>
        <w:t>在2023年信息公开工作中，我局还存在一些不足之处，如相关农业农村栏目更新不及时，对网站关注度不高等问题。下一步，我局将严格按照《条例》和政府网站建设相关工作要求，一是及时更新涉农栏目；二是提高信息员基本素质，加大信息公开工作力度，确保信息公开工作保质保量完成。</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30"/>
        <w:textAlignment w:val="auto"/>
        <w:rPr>
          <w:rFonts w:hint="default" w:ascii="Times New Roman" w:hAnsi="Times New Roman" w:eastAsia="黑体" w:cs="Times New Roman"/>
          <w:color w:val="auto"/>
          <w:sz w:val="32"/>
          <w:szCs w:val="32"/>
          <w:lang w:eastAsia="zh-CN" w:bidi="zh-TW"/>
        </w:rPr>
      </w:pPr>
      <w:r>
        <w:rPr>
          <w:rFonts w:hint="default" w:ascii="Times New Roman" w:hAnsi="Times New Roman" w:eastAsia="黑体" w:cs="Times New Roman"/>
          <w:color w:val="auto"/>
          <w:sz w:val="32"/>
          <w:szCs w:val="32"/>
          <w:lang w:val="en-US" w:eastAsia="zh-CN" w:bidi="zh-TW"/>
        </w:rPr>
        <w:t>六、</w:t>
      </w:r>
      <w:r>
        <w:rPr>
          <w:rFonts w:hint="default" w:ascii="Times New Roman" w:hAnsi="Times New Roman" w:eastAsia="黑体" w:cs="Times New Roman"/>
          <w:color w:val="auto"/>
          <w:sz w:val="32"/>
          <w:szCs w:val="32"/>
          <w:lang w:eastAsia="zh-CN" w:bidi="zh-TW"/>
        </w:rPr>
        <w:t>其他需要报告的事项</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643" w:firstLineChars="200"/>
        <w:textAlignment w:val="auto"/>
        <w:outlineLvl w:val="3"/>
        <w:rPr>
          <w:rFonts w:hint="default" w:ascii="Times New Roman" w:hAnsi="Times New Roman" w:eastAsia="楷体_GB2312" w:cs="Times New Roman"/>
          <w:b/>
          <w:bCs/>
          <w:color w:val="auto"/>
          <w:sz w:val="32"/>
          <w:szCs w:val="32"/>
          <w:shd w:val="clear" w:color="auto" w:fill="FFFFFF"/>
          <w:lang w:eastAsia="zh-CN"/>
        </w:rPr>
      </w:pPr>
      <w:r>
        <w:rPr>
          <w:rFonts w:hint="default" w:ascii="Times New Roman" w:hAnsi="Times New Roman" w:eastAsia="楷体_GB2312" w:cs="Times New Roman"/>
          <w:b/>
          <w:bCs/>
          <w:color w:val="auto"/>
          <w:sz w:val="32"/>
          <w:szCs w:val="32"/>
          <w:shd w:val="clear" w:color="auto" w:fill="FFFFFF"/>
          <w:lang w:val="en-US" w:eastAsia="zh-CN"/>
        </w:rPr>
        <w:t>（一）收取信息处理费的情况</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本年度依申请公开政府信息未收取任何费用。</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（二）落实上级年度政务公开工作要点情况</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 2023年度市中区文化和旅游局严格按照上级年度政务公开工作要点开展工作，狠抓任务落实，确保完成各项工作目标。</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（三）人大代表建议和政协委员提案办理情况</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2023年，市中区</w:t>
      </w:r>
      <w:r>
        <w:rPr>
          <w:rFonts w:hint="eastAsia" w:eastAsia="仿宋_GB2312" w:cs="Times New Roman"/>
          <w:color w:val="auto"/>
          <w:sz w:val="32"/>
          <w:szCs w:val="32"/>
          <w:lang w:val="en-US" w:eastAsia="zh-CN"/>
        </w:rPr>
        <w:t>农业农村局</w:t>
      </w:r>
      <w:r>
        <w:rPr>
          <w:rFonts w:hint="default" w:ascii="Times New Roman" w:hAnsi="Times New Roman" w:eastAsia="仿宋_GB2312" w:cs="Times New Roman"/>
          <w:color w:val="auto"/>
          <w:sz w:val="32"/>
          <w:szCs w:val="32"/>
          <w:lang w:val="en-US" w:eastAsia="zh-CN"/>
        </w:rPr>
        <w:t>共承办区级人大代表建议</w:t>
      </w: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件，办复率100%；承办区政协委员提案</w:t>
      </w:r>
      <w:r>
        <w:rPr>
          <w:rFonts w:hint="eastAsia"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件，办复率100%。</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firstLine="643" w:firstLineChars="200"/>
        <w:contextualSpacing/>
        <w:jc w:val="right"/>
        <w:textAlignment w:val="auto"/>
        <w:rPr>
          <w:rFonts w:hint="default" w:ascii="Times New Roman" w:hAnsi="Times New Roman" w:eastAsia="仿宋_GB2312" w:cs="Times New Roman"/>
          <w:b/>
          <w:bCs/>
          <w:color w:val="auto"/>
          <w:sz w:val="32"/>
          <w:szCs w:val="32"/>
          <w:shd w:val="clear" w:color="auto" w:fill="FFFFFF"/>
          <w:lang w:val="en-US" w:eastAsia="zh-CN"/>
        </w:rPr>
      </w:pPr>
      <w:bookmarkStart w:id="9" w:name="_GoBack"/>
      <w:bookmarkEnd w:id="9"/>
    </w:p>
    <w:p>
      <w:pPr>
        <w:keepNext w:val="0"/>
        <w:keepLines w:val="0"/>
        <w:pageBreakBefore w:val="0"/>
        <w:widowControl/>
        <w:kinsoku/>
        <w:wordWrap/>
        <w:overflowPunct/>
        <w:topLinePunct w:val="0"/>
        <w:autoSpaceDE/>
        <w:autoSpaceDN/>
        <w:bidi w:val="0"/>
        <w:adjustRightInd/>
        <w:snapToGrid/>
        <w:spacing w:line="520" w:lineRule="exact"/>
        <w:ind w:firstLine="643" w:firstLineChars="200"/>
        <w:contextualSpacing/>
        <w:jc w:val="right"/>
        <w:textAlignment w:val="auto"/>
        <w:rPr>
          <w:rFonts w:hint="default" w:ascii="Times New Roman" w:hAnsi="Times New Roman" w:eastAsia="仿宋_GB2312" w:cs="Times New Roman"/>
          <w:b/>
          <w:bCs/>
          <w:color w:val="auto"/>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firstLine="643" w:firstLineChars="200"/>
        <w:contextualSpacing/>
        <w:jc w:val="right"/>
        <w:textAlignment w:val="auto"/>
        <w:rPr>
          <w:rFonts w:hint="default" w:ascii="Times New Roman" w:hAnsi="Times New Roman" w:eastAsia="仿宋_GB2312" w:cs="Times New Roman"/>
          <w:b/>
          <w:bCs/>
          <w:color w:val="auto"/>
          <w:sz w:val="32"/>
          <w:szCs w:val="32"/>
          <w:shd w:val="clear" w:color="auto" w:fill="FFFFFF"/>
          <w:lang w:val="en-US" w:eastAsia="zh-CN"/>
        </w:rPr>
      </w:pPr>
      <w:r>
        <w:rPr>
          <w:rFonts w:hint="default" w:ascii="Times New Roman" w:hAnsi="Times New Roman" w:eastAsia="仿宋_GB2312" w:cs="Times New Roman"/>
          <w:b/>
          <w:bCs/>
          <w:color w:val="auto"/>
          <w:sz w:val="32"/>
          <w:szCs w:val="32"/>
          <w:shd w:val="clear" w:color="auto" w:fill="FFFFFF"/>
          <w:lang w:val="en-US" w:eastAsia="zh-CN"/>
        </w:rPr>
        <w:t>市中区</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农业农村局</w:t>
      </w:r>
    </w:p>
    <w:p>
      <w:pPr>
        <w:keepNext w:val="0"/>
        <w:keepLines w:val="0"/>
        <w:pageBreakBefore w:val="0"/>
        <w:widowControl/>
        <w:kinsoku/>
        <w:wordWrap/>
        <w:overflowPunct/>
        <w:topLinePunct w:val="0"/>
        <w:autoSpaceDE/>
        <w:autoSpaceDN/>
        <w:bidi w:val="0"/>
        <w:adjustRightInd/>
        <w:snapToGrid/>
        <w:spacing w:line="520" w:lineRule="exact"/>
        <w:ind w:firstLine="643" w:firstLineChars="200"/>
        <w:contextualSpacing/>
        <w:jc w:val="right"/>
        <w:textAlignment w:val="auto"/>
        <w:rPr>
          <w:rFonts w:hint="default" w:ascii="Times New Roman" w:hAnsi="Times New Roman" w:eastAsia="仿宋_GB2312" w:cs="Times New Roman"/>
          <w:b/>
          <w:bCs/>
          <w:color w:val="auto"/>
          <w:sz w:val="32"/>
          <w:szCs w:val="32"/>
          <w:shd w:val="clear" w:color="auto" w:fill="FFFFFF"/>
          <w:lang w:val="en-US" w:eastAsia="zh-CN"/>
        </w:rPr>
      </w:pPr>
      <w:r>
        <w:rPr>
          <w:rFonts w:hint="default" w:ascii="Times New Roman" w:hAnsi="Times New Roman" w:eastAsia="仿宋_GB2312" w:cs="Times New Roman"/>
          <w:b/>
          <w:bCs/>
          <w:color w:val="auto"/>
          <w:sz w:val="32"/>
          <w:szCs w:val="32"/>
          <w:shd w:val="clear" w:color="auto" w:fill="FFFFFF"/>
          <w:lang w:val="en-US" w:eastAsia="zh-CN"/>
        </w:rPr>
        <w:t>2024年1月22日</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eastAsiaTheme="minorEastAsia"/>
          <w:color w:val="auto"/>
          <w:lang w:eastAsia="zh-CN"/>
        </w:rPr>
      </w:pPr>
    </w:p>
    <w:sectPr>
      <w:headerReference r:id="rId3" w:type="default"/>
      <w:footerReference r:id="rId4" w:type="default"/>
      <w:pgSz w:w="11906" w:h="16838"/>
      <w:pgMar w:top="1644" w:right="1644" w:bottom="1644" w:left="164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8</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8</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hNzBjYTA3MmY3MjdjYzYwZjQxMWMwNzYxZjBlZWEifQ=="/>
  </w:docVars>
  <w:rsids>
    <w:rsidRoot w:val="00112B69"/>
    <w:rsid w:val="00081823"/>
    <w:rsid w:val="00112B69"/>
    <w:rsid w:val="005A70FF"/>
    <w:rsid w:val="00B03096"/>
    <w:rsid w:val="00E55213"/>
    <w:rsid w:val="00F0539A"/>
    <w:rsid w:val="021D046B"/>
    <w:rsid w:val="025E0CC2"/>
    <w:rsid w:val="0A3E1141"/>
    <w:rsid w:val="0B8F2AB2"/>
    <w:rsid w:val="0D426B65"/>
    <w:rsid w:val="0DB7343A"/>
    <w:rsid w:val="101A475B"/>
    <w:rsid w:val="150C0481"/>
    <w:rsid w:val="1AAF71B2"/>
    <w:rsid w:val="1D276D79"/>
    <w:rsid w:val="1DC53412"/>
    <w:rsid w:val="1FD24907"/>
    <w:rsid w:val="2007106B"/>
    <w:rsid w:val="227F4F5F"/>
    <w:rsid w:val="24B65C7B"/>
    <w:rsid w:val="271F6DB2"/>
    <w:rsid w:val="28BE4FD8"/>
    <w:rsid w:val="2A366FA5"/>
    <w:rsid w:val="2A6E4A40"/>
    <w:rsid w:val="2B247393"/>
    <w:rsid w:val="2B7E7F7A"/>
    <w:rsid w:val="34C27E73"/>
    <w:rsid w:val="372B44B7"/>
    <w:rsid w:val="37DD4F2A"/>
    <w:rsid w:val="3CA63654"/>
    <w:rsid w:val="424E6C95"/>
    <w:rsid w:val="42962A0C"/>
    <w:rsid w:val="43677CBB"/>
    <w:rsid w:val="4A263FB9"/>
    <w:rsid w:val="4BE16E0F"/>
    <w:rsid w:val="565A39F6"/>
    <w:rsid w:val="5A891C07"/>
    <w:rsid w:val="5AE6494C"/>
    <w:rsid w:val="5EA95810"/>
    <w:rsid w:val="62A02DE5"/>
    <w:rsid w:val="62DF0CAC"/>
    <w:rsid w:val="64490C92"/>
    <w:rsid w:val="6EC52406"/>
    <w:rsid w:val="700D25E7"/>
    <w:rsid w:val="71742F46"/>
    <w:rsid w:val="72BB477E"/>
    <w:rsid w:val="743334DA"/>
    <w:rsid w:val="754C48A1"/>
    <w:rsid w:val="7D726BF8"/>
    <w:rsid w:val="7F2D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pPr>
    <w:rPr>
      <w:rFonts w:ascii="宋体" w:hAnsi="宋体" w:cs="宋体"/>
    </w:rPr>
  </w:style>
  <w:style w:type="character" w:styleId="6">
    <w:name w:val="Hyperlink"/>
    <w:basedOn w:val="5"/>
    <w:semiHidden/>
    <w:unhideWhenUsed/>
    <w:qFormat/>
    <w:uiPriority w:val="99"/>
    <w:rPr>
      <w:color w:val="0000FF"/>
      <w:u w:val="single"/>
    </w:rPr>
  </w:style>
  <w:style w:type="paragraph" w:customStyle="1" w:styleId="7">
    <w:name w:val="Header or footer|1"/>
    <w:basedOn w:val="1"/>
    <w:qFormat/>
    <w:uiPriority w:val="0"/>
    <w:rPr>
      <w:sz w:val="26"/>
      <w:szCs w:val="26"/>
      <w:lang w:val="zh-TW" w:eastAsia="zh-TW" w:bidi="zh-TW"/>
    </w:rPr>
  </w:style>
  <w:style w:type="paragraph" w:customStyle="1" w:styleId="8">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9">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10">
    <w:name w:val="Other|1"/>
    <w:basedOn w:val="1"/>
    <w:qFormat/>
    <w:uiPriority w:val="0"/>
    <w:pPr>
      <w:spacing w:line="44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1131</Words>
  <Characters>6452</Characters>
  <Lines>53</Lines>
  <Paragraphs>15</Paragraphs>
  <TotalTime>6</TotalTime>
  <ScaleCrop>false</ScaleCrop>
  <LinksUpToDate>false</LinksUpToDate>
  <CharactersWithSpaces>7568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2021-11-02T01:59:00Z</dcterms:created>
  <dc:creator>p</dc:creator>
  <cp:lastModifiedBy>lirong</cp:lastModifiedBy>
  <cp:lastPrinted>2024-01-22T02:50:00Z</cp:lastPrinted>
  <dcterms:modified xsi:type="dcterms:W3CDTF">2024-01-22T03:15:10Z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C2A41AB2BFDE4A2596083DA745D6AA00_12</vt:lpwstr>
  </property>
</Properties>
</file>