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市中区人民政府办公室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2023年度政府信息公开工作年度报告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报告根据《中华人民共和国政府信息公开条例》和《国务院办公厅政府信息与政务公开办公室关于印发&lt;中华人民共和国政府信息公开工作年度报告格式&gt;的通知》相关要求编制并向社会公开。本报告中所列数据的统计期限自2023年1月1日起至2023年12月31日止。本报告可在市中区人民政府网站（http://www.zzszq.gov.cn/）下载。本报告所列数据的统计时限自2023年1月1日至2023年12月31日。如对本报告有疑问，可与市中区人民政府办公室政务公开办联系（地址:枣庄市市中区君山中路321号，邮编：277100，电话：0632-3921308，电子邮箱：SZQdsj@zz.shandong.cn）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市中区人民政府办公室认真贯彻落实国家、省、市政务公开工作相关部署，围绕区委、区政府中心工作，持续拓宽信息公开渠道、加大公开力度、深化重点领域信息公开，着力推进政务公开标准化规范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市中区人民政府网站政务公开平台，及时公开区政府、区政府办公室政策文件、机构职能、财政预决算、政府工作报告及任务分解落实、行政权力以及重要会议、重要活动、重大政策及解读等政府信息。2023年，我办累计发布信息2981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 1. 依申请公开情况：区政府办公室严格按照《中华人民共和国政府信息公开条例》要求，规范依申请公开登记、审核、办理、答复、送达、归档等各个工作环节，全面做好依申请公开工作。2023年，区政府办公室共受理政府信息公开申请27件，答复28件（含上年结转2件），1件结转下年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    2. 收费和减免情况：本年度无依申请公开收费和减免事项。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    3. 政府信息公开行政复议、行政诉讼情况：2023年市中区人民政府办公室收到1件因政府信息公开申请提起的行政复议。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严格落实保密审查工作机制、信息发布协调机制和保密审查工作流程。二是动态更新政府信息主动公开目录，完善政府信息全生命周期管理相关制度，对政府信息的制作、审核、公开等方法进行全生命周期管理。三是对规范性文件进行全面清理，及时公开清理结果。归集整理规范性文件并按照规范格式集中发布至文件库，提供下载和咨询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7960" cy="2964180"/>
            <wp:effectExtent l="0" t="0" r="8890" b="7620"/>
            <wp:docPr id="3" name="图片 3" descr="170444535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44453513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进一步加强门户网站和政务公开网站建设管理，调整优化政务公开专栏，指导教体、卫建、住建等部门，做好教育、医疗卫生水电气热等领域的公共企事业单位信息公开工作。做好政府公报编辑发布工作，2023年共编辑发布《市中区人民政府公报》4期。着力打造基层政务公开专区，建设线下政务公开平台，为群众提供更具针对性的公开服务，打通服务群众的“最后一公里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304790" cy="3819525"/>
            <wp:effectExtent l="0" t="0" r="10160" b="9525"/>
            <wp:docPr id="4" name="图片 1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4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（五）监督保障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加大政务公开工作力度，加强人员保障，配备专职工作人员4名，具体负责政务公开工作。按照2023年政务公开培训计划，分2期对全区各单位、镇街政务公开工作人员开展专题培训。</w:t>
      </w:r>
      <w:bookmarkStart w:id="9" w:name="_GoBack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二、主动公开政府信息情况</w:t>
      </w:r>
    </w:p>
    <w:p>
      <w:pPr>
        <w:rPr>
          <w:rFonts w:hint="default"/>
          <w:lang w:val="en-US" w:eastAsia="zh-CN"/>
        </w:rPr>
      </w:pPr>
    </w:p>
    <w:tbl>
      <w:tblPr>
        <w:tblStyle w:val="3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　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　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 　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　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991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（本列数据的勾稽关系为：第一项加第二项之和，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一、</w:t>
            </w:r>
            <w:bookmarkStart w:id="0" w:name="_Hlk66973412"/>
            <w:r>
              <w:rPr>
                <w:rFonts w:hint="default"/>
                <w:lang w:val="en-US" w:eastAsia="zh-CN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（二）部分公开（</w:t>
            </w:r>
            <w:bookmarkStart w:id="1" w:name="_Hlk66973981"/>
            <w:r>
              <w:rPr>
                <w:rFonts w:hint="default"/>
                <w:lang w:val="en-US" w:eastAsia="zh-CN"/>
              </w:rPr>
              <w:t>区分处理的，只计这一情形，不计其他情形</w:t>
            </w:r>
            <w:bookmarkEnd w:id="1"/>
            <w:r>
              <w:rPr>
                <w:rFonts w:hint="default"/>
                <w:lang w:val="en-US" w:eastAsia="zh-CN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</w:t>
            </w:r>
            <w:bookmarkStart w:id="2" w:name="_Hlk66974104"/>
            <w:r>
              <w:rPr>
                <w:rFonts w:hint="default"/>
                <w:lang w:val="en-US" w:eastAsia="zh-CN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</w:t>
            </w:r>
            <w:bookmarkStart w:id="3" w:name="_Hlk66974290"/>
            <w:r>
              <w:rPr>
                <w:rFonts w:hint="default"/>
                <w:lang w:val="en-US" w:eastAsia="zh-CN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6.</w:t>
            </w:r>
            <w:bookmarkStart w:id="4" w:name="_Hlk66974555"/>
            <w:r>
              <w:rPr>
                <w:rFonts w:hint="default"/>
                <w:lang w:val="en-US" w:eastAsia="zh-CN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8.</w:t>
            </w:r>
            <w:bookmarkStart w:id="5" w:name="_Hlk66975211"/>
            <w:r>
              <w:rPr>
                <w:rFonts w:hint="default"/>
                <w:lang w:val="en-US" w:eastAsia="zh-CN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</w:t>
            </w:r>
            <w:bookmarkStart w:id="6" w:name="_Hlk66975392"/>
            <w:r>
              <w:rPr>
                <w:rFonts w:hint="default"/>
                <w:lang w:val="en-US" w:eastAsia="zh-CN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</w:t>
            </w:r>
            <w:bookmarkStart w:id="7" w:name="_Hlk66975466"/>
            <w:r>
              <w:rPr>
                <w:rFonts w:hint="default"/>
                <w:lang w:val="en-US" w:eastAsia="zh-CN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bookmarkStart w:id="8" w:name="_Hlk66975537"/>
            <w:r>
              <w:rPr>
                <w:rFonts w:hint="default"/>
                <w:lang w:val="en-US" w:eastAsia="zh-CN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5.要求行政机关确认或重新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/>
        <w:textAlignment w:val="auto"/>
        <w:rPr>
          <w:rFonts w:ascii="微软雅黑" w:hAnsi="微软雅黑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微软雅黑" w:eastAsia="黑体" w:cs="宋体"/>
          <w:b/>
          <w:bCs/>
          <w:color w:val="333333"/>
          <w:kern w:val="0"/>
          <w:sz w:val="32"/>
          <w:szCs w:val="32"/>
          <w:shd w:val="clear" w:color="auto" w:fill="FFFFFF"/>
        </w:rPr>
        <w:t>四、政府信息公开行政复议、行政诉讼情况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32"/>
          <w:szCs w:val="32"/>
        </w:rPr>
        <w:t> </w:t>
      </w:r>
    </w:p>
    <w:tbl>
      <w:tblPr>
        <w:tblStyle w:val="3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 w:hanging="1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hanging="1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hanging="1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hanging="2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（一）2022年问题整改情况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依申请公开工作办理力度，2023年，区政府办公室共办理依申请公开27件，较上年增加10件，除1件需转2024年办理外，基本做到当年件，当年清。二是针对部分信息发布组配不精准问题，严格对照省、市政务公开评估指标，对组配进行调整。三是加强多元化解读频率，2023年，发布多元化解读材料76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（二）2023年存在的主要问题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2023年存在的主要问题：一随着人民群众法治意识提升，对依申请事项办理提出了更高要求，而办公室缺少专业人员，在答复中难免出现答复不规范问题。二是政策文件的解读质量有待提高。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（三）整改措施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与区司法局和政府法律顾问紧密联系，对承办的依申请公开件征求专业人员意见，做到答复准确规范。二是多举措提高政策文件的解读质量，加强跨部门合作，共同研究和解读政策文件，提高解读的全面性和深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（一）收取信息处理费的情况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本年度依申请公开政府信息未收取任何费用。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（二）落实上级年度政务公开工作要点情况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2023年，市中区人民政府办公室严格按照上级政务公开工作要点要求，及时细化各项指标，提高信息发布精准度，做好一次点击即可获取所需信息。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（三）人大代表建议和政协委员提案办理情况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2023年，市中区人民政府办公室未承办人大代表建议和政协委员提案。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（四）政务公开工作创新情况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中区人民政府办公室扎实推进基层政务公开标准化、规范化建设，将政务公开工作与政务服务工作紧密结合，积极探索新模式、新路径，以公开促规范，以公开促落实，以公开促服务，全方位、多层次推进政务公开工作。积极推动全区打造标准化便民服务大厅，在区级大厅及11个镇街便民服务中心设立政务公开专区、网上办事区、24H自助服务区，只需“点点屏幕”“动动鼠标”就能查阅想要的信息，办理相应的手续，让群众“看得到、易获取、用得上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市中区人民政府办公室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11E15"/>
    <w:rsid w:val="076A675C"/>
    <w:rsid w:val="0A6D232B"/>
    <w:rsid w:val="1A74025B"/>
    <w:rsid w:val="384A0EB0"/>
    <w:rsid w:val="3C9565EC"/>
    <w:rsid w:val="41480038"/>
    <w:rsid w:val="52040F56"/>
    <w:rsid w:val="553514CA"/>
    <w:rsid w:val="58EB5B4E"/>
    <w:rsid w:val="7AA14633"/>
    <w:rsid w:val="7E93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7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2024-01-05T01:03:00Z</dcterms:created>
  <dc:creator>lirong</dc:creator>
  <cp:lastModifiedBy>lirong</cp:lastModifiedBy>
  <dcterms:modified xsi:type="dcterms:W3CDTF">2024-01-19T03:25:08Z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