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市中区住房和城乡建设局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hAnsi="方正小标宋简体" w:eastAsia="方正小标宋简体"/>
          <w:b/>
          <w:bCs/>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本年度报告根据《中华人民共和国政府信息公开条例》和《国务院办公厅政府信息与政务公开办公室关于印发</w:t>
      </w:r>
      <w:r>
        <w:rPr>
          <w:rFonts w:hint="eastAsia" w:eastAsia="仿宋_GB2312"/>
          <w:color w:val="auto"/>
          <w:sz w:val="32"/>
          <w:szCs w:val="32"/>
          <w:shd w:val="clear" w:color="auto" w:fill="FFFFFF"/>
          <w:lang w:eastAsia="zh-CN"/>
        </w:rPr>
        <w:t>&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市中区住房和城乡建设局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枣庄市市中区振兴中路23号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0632-3621566</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szqzfhcxjsjadmin@zz.shandong.cn</w:t>
      </w:r>
      <w:r>
        <w:rPr>
          <w:rFonts w:eastAsia="仿宋_GB2312"/>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黑体"/>
          <w:b/>
          <w:bCs/>
          <w:color w:val="auto"/>
          <w:sz w:val="32"/>
          <w:szCs w:val="32"/>
          <w:shd w:val="clear" w:color="auto" w:fill="FFFFFF"/>
          <w:lang w:eastAsia="zh-CN"/>
        </w:rPr>
      </w:pPr>
      <w:r>
        <w:rPr>
          <w:rFonts w:hint="eastAsia" w:eastAsia="黑体"/>
          <w:b/>
          <w:bCs/>
          <w:color w:val="auto"/>
          <w:sz w:val="32"/>
          <w:szCs w:val="32"/>
          <w:shd w:val="clear" w:color="auto" w:fill="FFFFFF"/>
          <w:lang w:val="en-US" w:eastAsia="zh-CN"/>
        </w:rPr>
        <w:t>一、</w:t>
      </w:r>
      <w:r>
        <w:rPr>
          <w:rFonts w:hAnsi="黑体" w:eastAsia="黑体"/>
          <w:b/>
          <w:bCs/>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auto"/>
          <w:sz w:val="32"/>
          <w:szCs w:val="32"/>
          <w:lang w:val="en-US" w:eastAsia="zh-CN"/>
        </w:rPr>
      </w:pPr>
      <w:r>
        <w:rPr>
          <w:rFonts w:hint="eastAsia" w:ascii="仿宋_GB2312" w:hAnsi="仿宋_GB2312" w:eastAsia="仿宋_GB2312" w:cs="仿宋_GB2312"/>
          <w:bCs/>
          <w:color w:val="auto"/>
          <w:sz w:val="32"/>
          <w:szCs w:val="32"/>
          <w:lang w:val="en-US" w:eastAsia="zh-CN"/>
        </w:rPr>
        <w:t>2023年，市中区住建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eastAsia="黑体"/>
          <w:bCs/>
          <w:color w:val="auto"/>
          <w:sz w:val="32"/>
          <w:szCs w:val="32"/>
          <w:lang w:eastAsia="zh-CN"/>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主动公开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Cs/>
          <w:color w:val="0000FF"/>
          <w:sz w:val="32"/>
          <w:szCs w:val="32"/>
          <w:lang w:val="en-US" w:eastAsia="zh-CN"/>
          <w14:textFill>
            <w14:gradFill>
              <w14:gsLst>
                <w14:gs w14:pos="0">
                  <w14:srgbClr w14:val="E30000"/>
                </w14:gs>
                <w14:gs w14:pos="100000">
                  <w14:srgbClr w14:val="760303"/>
                </w14:gs>
              </w14:gsLst>
              <w14:lin w14:scaled="0"/>
            </w14:gradFill>
          </w14:textFill>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C00000"/>
          <w:sz w:val="32"/>
          <w:szCs w:val="32"/>
          <w:lang w:val="en-US" w:eastAsia="zh-CN"/>
        </w:rPr>
        <w:t xml:space="preserve">  </w:t>
      </w:r>
      <w:r>
        <w:rPr>
          <w:rFonts w:hint="eastAsia" w:ascii="仿宋_GB2312" w:hAnsi="仿宋_GB2312" w:eastAsia="仿宋_GB2312" w:cs="仿宋_GB2312"/>
          <w:bCs/>
          <w:color w:val="auto"/>
          <w:sz w:val="32"/>
          <w:szCs w:val="32"/>
          <w:lang w:val="en-US" w:eastAsia="zh-CN"/>
        </w:rPr>
        <w:t xml:space="preserve"> 2023年，我局主动公开信息137条，其中在区政府门户网站公开131条，政务新媒体公开5条，其他1条。涉及重大项目建设、“放管服”改革、财政资金支付、农村危房改造、国有土地房屋征收、市政服务等方面。</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val="0"/>
          <w:color w:val="auto"/>
          <w:sz w:val="32"/>
          <w:szCs w:val="32"/>
          <w:shd w:val="clear" w:color="auto" w:fill="FFFFFF"/>
          <w:lang w:eastAsia="zh-CN"/>
        </w:rPr>
      </w:pPr>
      <w:r>
        <w:rPr>
          <w:rFonts w:hint="eastAsia" w:ascii="楷体_GB2312" w:hAnsi="楷体_GB2312" w:eastAsia="楷体_GB2312" w:cs="楷体_GB2312"/>
          <w:b/>
          <w:bCs w:val="0"/>
          <w:color w:val="C00000"/>
          <w:sz w:val="32"/>
          <w:szCs w:val="32"/>
          <w:lang w:val="en-US" w:eastAsia="zh-CN"/>
        </w:rPr>
        <w:drawing>
          <wp:anchor distT="0" distB="0" distL="114300" distR="114300" simplePos="0" relativeHeight="251659264" behindDoc="0" locked="0" layoutInCell="1" allowOverlap="1">
            <wp:simplePos x="0" y="0"/>
            <wp:positionH relativeFrom="column">
              <wp:posOffset>56515</wp:posOffset>
            </wp:positionH>
            <wp:positionV relativeFrom="paragraph">
              <wp:posOffset>103505</wp:posOffset>
            </wp:positionV>
            <wp:extent cx="5600065" cy="4239895"/>
            <wp:effectExtent l="0" t="0" r="635" b="8255"/>
            <wp:wrapTopAndBottom/>
            <wp:docPr id="1" name="图片 1" descr="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75"/>
                    <pic:cNvPicPr>
                      <a:picLocks noChangeAspect="1"/>
                    </pic:cNvPicPr>
                  </pic:nvPicPr>
                  <pic:blipFill>
                    <a:blip r:embed="rId8"/>
                    <a:stretch>
                      <a:fillRect/>
                    </a:stretch>
                  </pic:blipFill>
                  <pic:spPr>
                    <a:xfrm>
                      <a:off x="0" y="0"/>
                      <a:ext cx="5600065" cy="4239895"/>
                    </a:xfrm>
                    <a:prstGeom prst="rect">
                      <a:avLst/>
                    </a:prstGeom>
                  </pic:spPr>
                </pic:pic>
              </a:graphicData>
            </a:graphic>
          </wp:anchor>
        </w:drawing>
      </w: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做好依申请公开工作，依法保障民众的知情权、参与权、表达权、监督权。202</w:t>
      </w:r>
      <w:r>
        <w:rPr>
          <w:rFonts w:hint="eastAsia" w:ascii="仿宋_GB2312" w:eastAsia="仿宋_GB2312"/>
          <w:color w:val="auto"/>
          <w:sz w:val="32"/>
          <w:szCs w:val="32"/>
          <w:shd w:val="clear" w:color="auto" w:fill="FFFFFF"/>
          <w:lang w:val="en-US" w:eastAsia="zh-CN"/>
        </w:rPr>
        <w:t>3</w:t>
      </w:r>
      <w:r>
        <w:rPr>
          <w:rFonts w:hint="eastAsia" w:ascii="仿宋_GB2312" w:eastAsia="仿宋_GB2312"/>
          <w:color w:val="auto"/>
          <w:sz w:val="32"/>
          <w:szCs w:val="32"/>
          <w:shd w:val="clear" w:color="auto" w:fill="FFFFFF"/>
          <w:lang w:eastAsia="zh-CN"/>
        </w:rPr>
        <w:t>年共受理政府信息公开申请</w:t>
      </w:r>
      <w:r>
        <w:rPr>
          <w:rFonts w:hint="eastAsia" w:ascii="仿宋_GB2312" w:eastAsia="仿宋_GB2312"/>
          <w:color w:val="auto"/>
          <w:sz w:val="32"/>
          <w:szCs w:val="32"/>
          <w:shd w:val="clear" w:color="auto" w:fill="FFFFFF"/>
          <w:lang w:val="en-US" w:eastAsia="zh-CN"/>
        </w:rPr>
        <w:t>92</w:t>
      </w:r>
      <w:r>
        <w:rPr>
          <w:rFonts w:hint="eastAsia" w:ascii="仿宋_GB2312" w:eastAsia="仿宋_GB2312"/>
          <w:color w:val="auto"/>
          <w:sz w:val="32"/>
          <w:szCs w:val="32"/>
          <w:shd w:val="clear" w:color="auto" w:fill="FFFFFF"/>
          <w:lang w:eastAsia="zh-CN"/>
        </w:rPr>
        <w:t>件，</w:t>
      </w:r>
      <w:r>
        <w:rPr>
          <w:rFonts w:hint="eastAsia" w:ascii="仿宋_GB2312" w:eastAsia="仿宋_GB2312"/>
          <w:color w:val="auto"/>
          <w:sz w:val="32"/>
          <w:szCs w:val="32"/>
          <w:shd w:val="clear" w:color="auto" w:fill="FFFFFF"/>
          <w:lang w:val="en-US" w:eastAsia="zh-CN"/>
        </w:rPr>
        <w:t>涉及房屋拆迁征收领域，物业管理领域等领域。</w:t>
      </w:r>
      <w:r>
        <w:rPr>
          <w:rFonts w:hint="eastAsia" w:ascii="仿宋_GB2312" w:eastAsia="仿宋_GB2312"/>
          <w:color w:val="auto"/>
          <w:sz w:val="32"/>
          <w:szCs w:val="32"/>
          <w:shd w:val="clear" w:color="auto" w:fill="FFFFFF"/>
          <w:lang w:eastAsia="zh-CN"/>
        </w:rPr>
        <w:t>其中予以公开申请</w:t>
      </w:r>
      <w:r>
        <w:rPr>
          <w:rFonts w:hint="eastAsia" w:ascii="仿宋_GB2312" w:eastAsia="仿宋_GB2312"/>
          <w:color w:val="auto"/>
          <w:sz w:val="32"/>
          <w:szCs w:val="32"/>
          <w:shd w:val="clear" w:color="auto" w:fill="FFFFFF"/>
          <w:lang w:val="en-US" w:eastAsia="zh-CN"/>
        </w:rPr>
        <w:t>16</w:t>
      </w:r>
      <w:r>
        <w:rPr>
          <w:rFonts w:hint="eastAsia" w:ascii="仿宋_GB2312" w:eastAsia="仿宋_GB2312"/>
          <w:color w:val="auto"/>
          <w:sz w:val="32"/>
          <w:szCs w:val="32"/>
          <w:shd w:val="clear" w:color="auto" w:fill="FFFFFF"/>
          <w:lang w:eastAsia="zh-CN"/>
        </w:rPr>
        <w:t>件，不予公开</w:t>
      </w:r>
      <w:r>
        <w:rPr>
          <w:rFonts w:hint="eastAsia" w:ascii="仿宋_GB2312" w:eastAsia="仿宋_GB2312"/>
          <w:color w:val="auto"/>
          <w:sz w:val="32"/>
          <w:szCs w:val="32"/>
          <w:shd w:val="clear" w:color="auto" w:fill="FFFFFF"/>
          <w:lang w:val="en-US" w:eastAsia="zh-CN"/>
        </w:rPr>
        <w:t>18</w:t>
      </w:r>
      <w:r>
        <w:rPr>
          <w:rFonts w:hint="eastAsia" w:ascii="仿宋_GB2312" w:eastAsia="仿宋_GB2312"/>
          <w:color w:val="auto"/>
          <w:sz w:val="32"/>
          <w:szCs w:val="32"/>
          <w:shd w:val="clear" w:color="auto" w:fill="FFFFFF"/>
          <w:lang w:eastAsia="zh-CN"/>
        </w:rPr>
        <w:t>件，无法提供</w:t>
      </w:r>
      <w:r>
        <w:rPr>
          <w:rFonts w:hint="eastAsia" w:ascii="仿宋_GB2312" w:eastAsia="仿宋_GB2312"/>
          <w:color w:val="auto"/>
          <w:sz w:val="32"/>
          <w:szCs w:val="32"/>
          <w:shd w:val="clear" w:color="auto" w:fill="FFFFFF"/>
          <w:lang w:val="en-US" w:eastAsia="zh-CN"/>
        </w:rPr>
        <w:t>44</w:t>
      </w:r>
      <w:r>
        <w:rPr>
          <w:rFonts w:hint="eastAsia" w:ascii="仿宋_GB2312" w:eastAsia="仿宋_GB2312"/>
          <w:color w:val="auto"/>
          <w:sz w:val="32"/>
          <w:szCs w:val="32"/>
          <w:shd w:val="clear" w:color="auto" w:fill="FFFFFF"/>
          <w:lang w:eastAsia="zh-CN"/>
        </w:rPr>
        <w:t>件，不予处理</w:t>
      </w:r>
      <w:r>
        <w:rPr>
          <w:rFonts w:hint="eastAsia" w:ascii="仿宋_GB2312" w:eastAsia="仿宋_GB2312"/>
          <w:color w:val="auto"/>
          <w:sz w:val="32"/>
          <w:szCs w:val="32"/>
          <w:shd w:val="clear" w:color="auto" w:fill="FFFFFF"/>
          <w:lang w:val="en-US" w:eastAsia="zh-CN"/>
        </w:rPr>
        <w:t>2</w:t>
      </w:r>
      <w:r>
        <w:rPr>
          <w:rFonts w:hint="eastAsia" w:ascii="仿宋_GB2312" w:eastAsia="仿宋_GB2312"/>
          <w:color w:val="auto"/>
          <w:sz w:val="32"/>
          <w:szCs w:val="32"/>
          <w:shd w:val="clear" w:color="auto" w:fill="FFFFFF"/>
          <w:lang w:eastAsia="zh-CN"/>
        </w:rPr>
        <w:t>件，</w:t>
      </w:r>
      <w:r>
        <w:rPr>
          <w:rFonts w:hint="eastAsia" w:ascii="仿宋_GB2312" w:eastAsia="仿宋_GB2312"/>
          <w:color w:val="auto"/>
          <w:sz w:val="32"/>
          <w:szCs w:val="32"/>
          <w:shd w:val="clear" w:color="auto" w:fill="FFFFFF"/>
          <w:lang w:val="en-US" w:eastAsia="zh-CN"/>
        </w:rPr>
        <w:t>其他12件</w:t>
      </w:r>
      <w:r>
        <w:rPr>
          <w:rFonts w:hint="eastAsia" w:ascii="仿宋_GB2312" w:eastAsia="仿宋_GB2312"/>
          <w:color w:val="auto"/>
          <w:sz w:val="32"/>
          <w:szCs w:val="32"/>
          <w:shd w:val="clear" w:color="auto" w:fill="FFFFFF"/>
          <w:lang w:eastAsia="zh-CN"/>
        </w:rPr>
        <w:t>，均在法定期限内予以答复。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本年度依申请公开政府信息未收取任何费用。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5</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2</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Ansi="黑体" w:eastAsia="黑体"/>
          <w:bCs/>
          <w:color w:val="auto"/>
          <w:sz w:val="32"/>
          <w:szCs w:val="32"/>
          <w:lang w:eastAsia="zh-CN"/>
        </w:rPr>
      </w:pP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政府信息管理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结合住建行业工作实际，优化完善本部门重点加强重大项目建设、“放管服”改革、财政资金支付、农村危房改造、国有土地房屋征收、市政服务等方面政府信息公开标准，进一步规范政府信息公开事项、公开内容、公开依据、公开时限、公开主体、公开渠道和载体、公开对象和公开方式等要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（四）政府信息公开</w:t>
      </w:r>
      <w:r>
        <w:rPr>
          <w:rFonts w:hint="eastAsia" w:ascii="楷体_GB2312" w:hAnsi="楷体_GB2312" w:eastAsia="楷体_GB2312" w:cs="楷体_GB2312"/>
          <w:b/>
          <w:bCs w:val="0"/>
          <w:color w:val="auto"/>
          <w:sz w:val="32"/>
          <w:szCs w:val="32"/>
          <w:lang w:eastAsia="zh-CN"/>
        </w:rPr>
        <w:t>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政务新媒体</w:t>
      </w:r>
      <w:r>
        <w:rPr>
          <w:rFonts w:hint="eastAsia" w:eastAsia="仿宋_GB2312"/>
          <w:color w:val="auto"/>
          <w:sz w:val="32"/>
          <w:szCs w:val="32"/>
          <w:highlight w:val="none"/>
          <w:shd w:val="clear" w:color="auto" w:fill="FFFFFF"/>
          <w:lang w:eastAsia="zh-CN"/>
        </w:rPr>
        <w:t>“</w:t>
      </w:r>
      <w:r>
        <w:rPr>
          <w:rFonts w:hint="eastAsia" w:eastAsia="仿宋_GB2312"/>
          <w:color w:val="auto"/>
          <w:sz w:val="32"/>
          <w:szCs w:val="32"/>
          <w:highlight w:val="none"/>
          <w:shd w:val="clear" w:color="auto" w:fill="FFFFFF"/>
          <w:lang w:val="en-US" w:eastAsia="zh-CN"/>
        </w:rPr>
        <w:t>枣庄市市中区住房和城乡建设局微信公众号</w:t>
      </w:r>
      <w:r>
        <w:rPr>
          <w:rFonts w:hint="eastAsia" w:eastAsia="仿宋_GB2312"/>
          <w:color w:val="auto"/>
          <w:sz w:val="32"/>
          <w:szCs w:val="32"/>
          <w:highlight w:val="none"/>
          <w:shd w:val="clear" w:color="auto" w:fill="FFFFFF"/>
          <w:lang w:eastAsia="zh-CN"/>
        </w:rPr>
        <w:t>”</w:t>
      </w:r>
      <w:r>
        <w:rPr>
          <w:rFonts w:eastAsia="仿宋_GB2312"/>
          <w:color w:val="auto"/>
          <w:sz w:val="32"/>
          <w:szCs w:val="32"/>
          <w:shd w:val="clear" w:color="auto" w:fill="FFFFFF"/>
          <w:lang w:eastAsia="zh-CN"/>
        </w:rPr>
        <w:t>等平台发布信息，推动政务公开信息向不同群体精准推送，认真回应群众关心、社会关注的热点问题，并推动问题的解决。</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drawing>
          <wp:anchor distT="0" distB="0" distL="114300" distR="114300" simplePos="0" relativeHeight="251660288" behindDoc="0" locked="0" layoutInCell="1" allowOverlap="1">
            <wp:simplePos x="0" y="0"/>
            <wp:positionH relativeFrom="column">
              <wp:posOffset>180975</wp:posOffset>
            </wp:positionH>
            <wp:positionV relativeFrom="paragraph">
              <wp:posOffset>401955</wp:posOffset>
            </wp:positionV>
            <wp:extent cx="5114925" cy="4743450"/>
            <wp:effectExtent l="0" t="0" r="9525"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114925" cy="4743450"/>
                    </a:xfrm>
                    <a:prstGeom prst="rect">
                      <a:avLst/>
                    </a:prstGeom>
                    <a:noFill/>
                    <a:ln>
                      <a:noFill/>
                    </a:ln>
                  </pic:spPr>
                </pic:pic>
              </a:graphicData>
            </a:graphic>
          </wp:anchor>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int="eastAsia" w:ascii="楷体_GB2312" w:hAnsi="楷体_GB2312" w:eastAsia="楷体_GB2312" w:cs="楷体_GB2312"/>
          <w:b/>
          <w:bCs/>
          <w:color w:val="auto"/>
          <w:sz w:val="32"/>
          <w:szCs w:val="32"/>
          <w:lang w:val="en-US" w:eastAsia="zh-CN" w:bidi="ar-SA"/>
        </w:rPr>
        <w:t>（五）</w:t>
      </w:r>
      <w:r>
        <w:rPr>
          <w:rFonts w:hint="eastAsia" w:ascii="楷体_GB2312" w:hAnsi="楷体_GB2312" w:eastAsia="楷体_GB2312" w:cs="楷体_GB2312"/>
          <w:b/>
          <w:bCs/>
          <w:color w:val="auto"/>
          <w:sz w:val="32"/>
          <w:szCs w:val="32"/>
          <w:lang w:eastAsia="zh-CN" w:bidi="ar-SA"/>
        </w:rPr>
        <w:t>监督保障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区住建局成立了主要负责同志为组长，分管负责人任副组长，各股室负责人为成员的政府信息公开领导小组，领导小组下设办公室，设在局办公室；我局实行“一把手亲自抓、分管领导具体抓、责任到各个业务股室、任务分解到人头”的联动工作机制，明确专人负责制，收集汇总后由局办公室统一报送。</w:t>
      </w:r>
    </w:p>
    <w:p>
      <w:pPr>
        <w:pStyle w:val="10"/>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Times New Roman" w:hAnsi="黑体" w:eastAsia="黑体" w:cs="Times New Roman"/>
          <w:b/>
          <w:bCs w:val="0"/>
          <w:color w:val="auto"/>
          <w:sz w:val="32"/>
          <w:szCs w:val="32"/>
        </w:rPr>
      </w:pPr>
      <w:r>
        <w:rPr>
          <w:rFonts w:hint="eastAsia" w:ascii="Times New Roman" w:hAnsi="黑体" w:eastAsia="黑体" w:cs="Times New Roman"/>
          <w:b/>
          <w:bCs w:val="0"/>
          <w:color w:val="auto"/>
          <w:sz w:val="32"/>
          <w:szCs w:val="32"/>
          <w:lang w:val="en-US" w:eastAsia="zh-CN"/>
        </w:rPr>
        <w:t>二、</w:t>
      </w:r>
      <w:r>
        <w:rPr>
          <w:rFonts w:ascii="Times New Roman" w:hAnsi="黑体" w:eastAsia="黑体" w:cs="Times New Roman"/>
          <w:b/>
          <w:bCs w:val="0"/>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91</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pStyle w:val="10"/>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Times New Roman"/>
          <w:bCs/>
          <w:color w:val="auto"/>
          <w:sz w:val="32"/>
          <w:szCs w:val="32"/>
          <w:lang w:val="en-US" w:eastAsia="zh-CN"/>
        </w:rPr>
      </w:pPr>
    </w:p>
    <w:p>
      <w:pPr>
        <w:pStyle w:val="10"/>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pPr>
              <w:widowControl/>
              <w:jc w:val="center"/>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92</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16</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16</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b w:val="0"/>
                <w:bCs w:val="0"/>
                <w:color w:val="auto"/>
                <w:kern w:val="0"/>
                <w:sz w:val="21"/>
                <w:szCs w:val="21"/>
                <w:lang w:eastAsia="zh-CN" w:bidi="ar-SA"/>
              </w:rPr>
            </w:pPr>
            <w:r>
              <w:rPr>
                <w:rFonts w:hint="eastAsia" w:ascii="仿宋_GB2312" w:hAnsi="黑体" w:eastAsia="仿宋_GB2312" w:cs="Times New Roman"/>
                <w:b w:val="0"/>
                <w:bCs w:val="0"/>
                <w:color w:val="auto"/>
                <w:kern w:val="0"/>
                <w:sz w:val="21"/>
                <w:szCs w:val="21"/>
                <w:lang w:eastAsia="zh-CN" w:bidi="ar-SA"/>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b w:val="0"/>
                <w:bCs w:val="0"/>
                <w:color w:val="auto"/>
                <w:kern w:val="0"/>
                <w:sz w:val="21"/>
                <w:szCs w:val="21"/>
                <w:lang w:eastAsia="zh-CN" w:bidi="ar-SA"/>
              </w:rPr>
            </w:pPr>
            <w:r>
              <w:rPr>
                <w:rFonts w:hint="eastAsia" w:ascii="仿宋_GB2312" w:hAnsi="黑体" w:eastAsia="仿宋_GB2312" w:cs="Times New Roman"/>
                <w:b w:val="0"/>
                <w:bCs w:val="0"/>
                <w:color w:val="auto"/>
                <w:kern w:val="0"/>
                <w:sz w:val="21"/>
                <w:szCs w:val="21"/>
                <w:lang w:eastAsia="zh-CN" w:bidi="ar-SA"/>
              </w:rPr>
              <w:t>6.</w:t>
            </w:r>
            <w:bookmarkStart w:id="4" w:name="_Hlk66974555"/>
            <w:r>
              <w:rPr>
                <w:rFonts w:hint="eastAsia" w:ascii="仿宋_GB2312" w:hAnsi="黑体" w:eastAsia="仿宋_GB2312" w:cs="Times New Roman"/>
                <w:b w:val="0"/>
                <w:bCs w:val="0"/>
                <w:color w:val="auto"/>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highlight w:val="none"/>
                <w:lang w:eastAsia="zh-CN" w:bidi="ar-SA"/>
              </w:rPr>
            </w:pPr>
            <w:r>
              <w:rPr>
                <w:rFonts w:hint="eastAsia" w:ascii="仿宋_GB2312" w:hAnsi="黑体" w:eastAsia="仿宋_GB2312" w:cs="Times New Roman"/>
                <w:color w:val="auto"/>
                <w:kern w:val="0"/>
                <w:sz w:val="21"/>
                <w:szCs w:val="21"/>
                <w:highlight w:val="none"/>
                <w:lang w:eastAsia="zh-CN" w:bidi="ar-SA"/>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s="Times New Roman"/>
                <w:color w:val="auto"/>
                <w:kern w:val="2"/>
                <w:sz w:val="21"/>
                <w:szCs w:val="21"/>
                <w:highlight w:val="none"/>
                <w:lang w:val="en-US" w:eastAsia="zh-CN" w:bidi="ar-SA"/>
              </w:rPr>
              <w:t>44</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color w:val="auto"/>
                <w:kern w:val="0"/>
                <w:sz w:val="21"/>
                <w:szCs w:val="21"/>
                <w:highlight w:val="none"/>
                <w:lang w:eastAsia="zh-CN" w:bidi="ar-SA"/>
              </w:rPr>
            </w:pPr>
            <w:r>
              <w:rPr>
                <w:rFonts w:hint="eastAsia" w:ascii="仿宋_GB2312" w:hAnsi="黑体" w:eastAsia="仿宋_GB2312" w:cs="Times New Roman"/>
                <w:color w:val="auto"/>
                <w:kern w:val="0"/>
                <w:sz w:val="21"/>
                <w:szCs w:val="21"/>
                <w:highlight w:val="none"/>
                <w:lang w:eastAsia="zh-CN" w:bidi="ar-SA"/>
              </w:rPr>
              <w:t>2.</w:t>
            </w:r>
            <w:bookmarkStart w:id="6" w:name="_Hlk66975392"/>
            <w:r>
              <w:rPr>
                <w:rFonts w:hint="eastAsia" w:ascii="仿宋_GB2312" w:hAnsi="黑体" w:eastAsia="仿宋_GB2312" w:cs="Times New Roman"/>
                <w:color w:val="auto"/>
                <w:kern w:val="0"/>
                <w:sz w:val="21"/>
                <w:szCs w:val="21"/>
                <w:highlight w:val="none"/>
                <w:lang w:eastAsia="zh-CN" w:bidi="ar-SA"/>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auto"/>
                <w:kern w:val="2"/>
                <w:sz w:val="21"/>
                <w:szCs w:val="21"/>
                <w:highlight w:val="none"/>
                <w:lang w:val="en-US" w:eastAsia="zh-CN" w:bidi="ar-SA"/>
              </w:rPr>
            </w:pPr>
            <w:r>
              <w:rPr>
                <w:rFonts w:hint="eastAsia" w:ascii="仿宋_GB2312"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highlight w:val="yellow"/>
                <w:lang w:eastAsia="zh-CN" w:bidi="ar-SA"/>
              </w:rPr>
            </w:pPr>
            <w:r>
              <w:rPr>
                <w:rFonts w:hint="eastAsia" w:ascii="仿宋_GB2312" w:hAnsi="黑体" w:eastAsia="仿宋_GB2312" w:cs="Times New Roman"/>
                <w:kern w:val="0"/>
                <w:sz w:val="21"/>
                <w:szCs w:val="21"/>
                <w:highlight w:val="none"/>
                <w:lang w:eastAsia="zh-CN" w:bidi="ar-SA"/>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highlight w:val="yellow"/>
                <w:lang w:val="en-US" w:eastAsia="zh-CN" w:bidi="ar-SA"/>
              </w:rPr>
            </w:pPr>
            <w:r>
              <w:rPr>
                <w:rFonts w:hint="eastAsia" w:ascii="仿宋_GB2312" w:eastAsia="仿宋_GB2312" w:cs="Times New Roman"/>
                <w:kern w:val="2"/>
                <w:sz w:val="21"/>
                <w:szCs w:val="21"/>
                <w:highlight w:val="none"/>
                <w:lang w:val="en-US" w:eastAsia="zh-CN" w:bidi="ar-SA"/>
              </w:rPr>
              <w:t>2</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pPr>
              <w:widowControl/>
              <w:spacing w:line="300" w:lineRule="exact"/>
              <w:ind w:firstLine="210" w:firstLineChars="100"/>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pPr>
              <w:widowControl/>
              <w:spacing w:line="300" w:lineRule="exact"/>
              <w:jc w:val="both"/>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12</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92</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5" w:right="1302" w:bottom="1283" w:left="1771" w:header="0" w:footer="3" w:gutter="0"/>
          <w:pgNumType w:start="8"/>
          <w:cols w:space="720" w:num="1"/>
          <w:docGrid w:linePitch="360" w:charSpace="0"/>
        </w:sectPr>
      </w:pP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
          <w:bCs w:val="0"/>
          <w:color w:val="auto"/>
          <w:sz w:val="32"/>
          <w:szCs w:val="32"/>
          <w:lang w:val="en-US" w:eastAsia="zh-CN"/>
        </w:rPr>
        <w:t>四、</w:t>
      </w:r>
      <w:r>
        <w:rPr>
          <w:rFonts w:ascii="Times New Roman" w:hAnsi="Times New Roman" w:eastAsia="黑体" w:cs="Times New Roman"/>
          <w:b/>
          <w:bCs w:val="0"/>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5</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5</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1</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1</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1</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1</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eastAsia="黑体"/>
          <w:b/>
          <w:bCs/>
          <w:color w:val="auto"/>
          <w:sz w:val="32"/>
          <w:szCs w:val="32"/>
          <w:lang w:eastAsia="zh-CN" w:bidi="ar-SA"/>
        </w:rPr>
      </w:pPr>
      <w:r>
        <w:rPr>
          <w:rFonts w:hint="eastAsia" w:eastAsia="黑体"/>
          <w:b/>
          <w:bCs/>
          <w:color w:val="auto"/>
          <w:sz w:val="32"/>
          <w:szCs w:val="32"/>
          <w:lang w:val="en-US" w:eastAsia="zh-CN" w:bidi="ar-SA"/>
        </w:rPr>
        <w:t>五、</w:t>
      </w:r>
      <w:r>
        <w:rPr>
          <w:rFonts w:eastAsia="黑体"/>
          <w:b/>
          <w:bCs/>
          <w:color w:val="auto"/>
          <w:sz w:val="32"/>
          <w:szCs w:val="32"/>
          <w:lang w:eastAsia="zh-CN" w:bidi="ar-SA"/>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（一）2022年存在问题整改情况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针对2022年枣庄市市中区住建局存在对信息公开重要性的认识还不到位，公开的形式和内容还有待于进一步改进和完善等问题，我局高度重视，积极改进学习，组织学习相关文件精神，加强对信息公开重要性的认识，优化提升信息公开质量，通过现场查阅、邮件接收等方式丰富群众查阅的公开形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（二）2023年存在问题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 一是对信息公开的学习不够深入。对政府信息公开工作的培训学习没有完全跟上，局内部干部职工对其系统性认识不够深刻，负责信息公开专职人员的能力和水平需要进一步提升。二是信息公开的及时性需加强。政府信息公开工作运行机制仍需改进优化。</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val="en-US" w:eastAsia="zh-CN" w:bidi="ar-SA"/>
        </w:rPr>
        <w:t>改进措施</w:t>
      </w:r>
      <w:r>
        <w:rPr>
          <w:rFonts w:hint="eastAsia" w:ascii="楷体_GB2312" w:hAnsi="楷体_GB2312" w:eastAsia="楷体_GB2312" w:cs="楷体_GB2312"/>
          <w:b/>
          <w:bCs/>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eastAsia="zh-CN" w:bidi="ar-SA"/>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一是充分认识到信息公开工作重要性。加强对信息公开工作学习，积极学习落实新时代政务工作有关要求。二是提高政务信息工作报送质量。坚持政务信息工作及时准确、全面规范，增强时效观念，确保信息完整、语言精炼、表述规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ascii="黑体" w:hAnsi="黑体" w:eastAsia="黑体" w:cs="黑体"/>
          <w:b/>
          <w:bCs/>
          <w:color w:val="auto"/>
          <w:sz w:val="32"/>
          <w:szCs w:val="32"/>
          <w:lang w:eastAsia="zh-CN" w:bidi="zh-TW"/>
        </w:rPr>
      </w:pPr>
      <w:r>
        <w:rPr>
          <w:rFonts w:hint="eastAsia" w:ascii="黑体" w:hAnsi="黑体" w:eastAsia="黑体" w:cs="黑体"/>
          <w:b/>
          <w:bCs/>
          <w:color w:val="auto"/>
          <w:sz w:val="32"/>
          <w:szCs w:val="32"/>
          <w:lang w:val="en-US" w:eastAsia="zh-CN" w:bidi="zh-TW"/>
        </w:rPr>
        <w:t>六、</w:t>
      </w:r>
      <w:r>
        <w:rPr>
          <w:rFonts w:hint="eastAsia" w:ascii="黑体" w:hAnsi="黑体" w:eastAsia="黑体" w:cs="黑体"/>
          <w:b/>
          <w:bCs/>
          <w:color w:val="auto"/>
          <w:sz w:val="32"/>
          <w:szCs w:val="32"/>
          <w:lang w:eastAsia="zh-CN" w:bidi="zh-TW"/>
        </w:rPr>
        <w:t>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val="en-US" w:eastAsia="zh-CN"/>
        </w:rPr>
        <w:t>（一）收取信息处理费的情况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本年度依申请公开政府信息未收取任何费用。</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落实上级年度政务公开工作要点情况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bidi="ar-SA"/>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3</w:t>
      </w:r>
      <w:r>
        <w:rPr>
          <w:rFonts w:hint="default" w:ascii="仿宋_GB2312" w:hAnsi="仿宋_GB2312" w:eastAsia="仿宋_GB2312" w:cs="仿宋_GB2312"/>
          <w:color w:val="000000" w:themeColor="text1"/>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 xml:space="preserve">年，市中区住房和城乡建设局严格按照上级要求，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eastAsia="仿宋_GB2312"/>
          <w:b/>
          <w:bCs/>
          <w:color w:val="auto"/>
          <w:sz w:val="32"/>
          <w:szCs w:val="32"/>
          <w:lang w:val="en-US" w:eastAsia="zh-CN"/>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及时调整局政务公开领导小组，明确专人负责政务公开工作。</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人大代表建议和政协委员提案办理情况</w:t>
      </w:r>
    </w:p>
    <w:p>
      <w:pPr>
        <w:keepNext w:val="0"/>
        <w:keepLines w:val="0"/>
        <w:widowControl/>
        <w:suppressLineNumbers w:val="0"/>
        <w:ind w:firstLine="620" w:firstLineChars="200"/>
        <w:jc w:val="both"/>
      </w:pP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 xml:space="preserve">年，市中区住房和城乡建设局共承办区级人大代表 </w:t>
      </w:r>
    </w:p>
    <w:p>
      <w:pPr>
        <w:keepNext w:val="0"/>
        <w:keepLines w:val="0"/>
        <w:widowControl/>
        <w:suppressLineNumbers w:val="0"/>
        <w:jc w:val="both"/>
      </w:pPr>
      <w:r>
        <w:rPr>
          <w:rFonts w:hint="eastAsia" w:ascii="仿宋_GB2312" w:hAnsi="宋体" w:eastAsia="仿宋_GB2312" w:cs="仿宋_GB2312"/>
          <w:color w:val="000000"/>
          <w:kern w:val="0"/>
          <w:sz w:val="31"/>
          <w:szCs w:val="31"/>
          <w:lang w:val="en-US" w:eastAsia="zh-CN" w:bidi="ar"/>
        </w:rPr>
        <w:t xml:space="preserve">建议22件，办复率 </w:t>
      </w:r>
      <w:r>
        <w:rPr>
          <w:rFonts w:hint="default" w:ascii="Times New Roman" w:hAnsi="Times New Roman" w:eastAsia="宋体" w:cs="Times New Roman"/>
          <w:color w:val="000000"/>
          <w:kern w:val="0"/>
          <w:sz w:val="31"/>
          <w:szCs w:val="31"/>
          <w:lang w:val="en-US" w:eastAsia="zh-CN" w:bidi="ar"/>
        </w:rPr>
        <w:t>100%</w:t>
      </w:r>
      <w:r>
        <w:rPr>
          <w:rFonts w:hint="eastAsia" w:ascii="仿宋_GB2312" w:hAnsi="宋体" w:eastAsia="仿宋_GB2312" w:cs="仿宋_GB2312"/>
          <w:color w:val="000000"/>
          <w:kern w:val="0"/>
          <w:sz w:val="31"/>
          <w:szCs w:val="31"/>
          <w:lang w:val="en-US" w:eastAsia="zh-CN" w:bidi="ar"/>
        </w:rPr>
        <w:t xml:space="preserve">；承办区政协委员提案14件，办 </w:t>
      </w:r>
    </w:p>
    <w:p>
      <w:pPr>
        <w:keepNext w:val="0"/>
        <w:keepLines w:val="0"/>
        <w:widowControl/>
        <w:suppressLineNumbers w:val="0"/>
        <w:jc w:val="both"/>
        <w:rPr>
          <w:rFonts w:hint="eastAsia" w:eastAsia="仿宋_GB2312"/>
          <w:b/>
          <w:bCs/>
          <w:color w:val="auto"/>
          <w:sz w:val="32"/>
          <w:szCs w:val="32"/>
          <w:lang w:val="en-US" w:eastAsia="zh-CN"/>
        </w:rPr>
      </w:pPr>
      <w:r>
        <w:rPr>
          <w:rFonts w:hint="eastAsia" w:ascii="仿宋_GB2312" w:hAnsi="宋体" w:eastAsia="仿宋_GB2312" w:cs="仿宋_GB2312"/>
          <w:color w:val="000000"/>
          <w:kern w:val="0"/>
          <w:sz w:val="31"/>
          <w:szCs w:val="31"/>
          <w:lang w:val="en-US" w:eastAsia="zh-CN" w:bidi="ar"/>
        </w:rPr>
        <w:t xml:space="preserve">复率 </w:t>
      </w:r>
      <w:r>
        <w:rPr>
          <w:rFonts w:hint="default" w:ascii="Times New Roman" w:hAnsi="Times New Roman" w:eastAsia="宋体" w:cs="Times New Roman"/>
          <w:color w:val="000000"/>
          <w:kern w:val="0"/>
          <w:sz w:val="31"/>
          <w:szCs w:val="31"/>
          <w:lang w:val="en-US" w:eastAsia="zh-CN" w:bidi="ar"/>
        </w:rPr>
        <w:t>100%</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3" w:firstLineChars="200"/>
        <w:contextualSpacing/>
        <w:textAlignment w:val="auto"/>
        <w:rPr>
          <w:rFonts w:hint="eastAsia" w:ascii="楷体_GB2312" w:hAnsi="楷体_GB2312" w:eastAsia="楷体_GB2312" w:cs="楷体_GB2312"/>
          <w:b/>
          <w:bCs/>
          <w:color w:val="auto"/>
          <w:sz w:val="32"/>
          <w:szCs w:val="32"/>
          <w:shd w:val="clear" w:color="auto" w:fill="FFFFFF"/>
          <w:lang w:val="en-US" w:eastAsia="zh-CN"/>
        </w:rPr>
      </w:pPr>
      <w:r>
        <w:rPr>
          <w:rFonts w:hint="eastAsia" w:ascii="楷体_GB2312" w:hAnsi="楷体_GB2312" w:eastAsia="楷体_GB2312" w:cs="楷体_GB2312"/>
          <w:b/>
          <w:bCs/>
          <w:color w:val="auto"/>
          <w:sz w:val="32"/>
          <w:szCs w:val="32"/>
          <w:shd w:val="clear" w:color="auto" w:fill="FFFFFF"/>
          <w:lang w:val="en-US" w:eastAsia="zh-CN"/>
        </w:rPr>
        <w:t>本行政机关年度政务公开工作创新情况</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w:t>
      </w:r>
      <w:r>
        <w:rPr>
          <w:rFonts w:hint="eastAsia" w:eastAsia="宋体" w:cs="Times New Roman"/>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 xml:space="preserve">年，市中区住房和城乡建设局积极开展政务公开工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作，依托</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枣庄市市中区人民政府网站</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政府信息公开专栏</w:t>
      </w:r>
      <w:r>
        <w:rPr>
          <w:rFonts w:hint="default" w:ascii="Times New Roman" w:hAnsi="Times New Roman" w:eastAsia="宋体" w:cs="Times New Roman"/>
          <w:color w:val="000000"/>
          <w:kern w:val="0"/>
          <w:sz w:val="31"/>
          <w:szCs w:val="31"/>
          <w:lang w:val="en-US" w:eastAsia="zh-CN" w:bidi="ar"/>
        </w:rPr>
        <w:t xml:space="preserve">”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政务新媒体</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市中区住房和城乡建设局</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等平台公布政策、发 </w:t>
      </w:r>
    </w:p>
    <w:p>
      <w:pPr>
        <w:keepNext w:val="0"/>
        <w:keepLines w:val="0"/>
        <w:widowControl/>
        <w:suppressLineNumbers w:val="0"/>
        <w:jc w:val="left"/>
        <w:rPr>
          <w:rFonts w:hint="eastAsia" w:eastAsia="仿宋_GB2312"/>
          <w:b/>
          <w:bCs/>
          <w:color w:val="auto"/>
          <w:sz w:val="32"/>
          <w:szCs w:val="32"/>
          <w:shd w:val="clear" w:color="auto" w:fill="FFFFFF"/>
          <w:lang w:val="en-US" w:eastAsia="zh-CN"/>
        </w:rPr>
      </w:pPr>
      <w:r>
        <w:rPr>
          <w:rFonts w:hint="eastAsia" w:ascii="仿宋_GB2312" w:hAnsi="宋体" w:eastAsia="仿宋_GB2312" w:cs="仿宋_GB2312"/>
          <w:color w:val="000000"/>
          <w:kern w:val="0"/>
          <w:sz w:val="31"/>
          <w:szCs w:val="31"/>
          <w:lang w:val="en-US" w:eastAsia="zh-CN" w:bidi="ar"/>
        </w:rPr>
        <w:t>布信息，</w:t>
      </w:r>
      <w:r>
        <w:rPr>
          <w:rFonts w:hint="eastAsia" w:ascii="仿宋_GB2312" w:hAnsi="宋体" w:eastAsia="仿宋_GB2312" w:cs="仿宋_GB2312"/>
          <w:color w:val="auto"/>
          <w:kern w:val="0"/>
          <w:sz w:val="31"/>
          <w:szCs w:val="31"/>
          <w:highlight w:val="none"/>
          <w:lang w:val="en-US" w:eastAsia="zh-CN" w:bidi="ar"/>
        </w:rPr>
        <w:t>通过对群众关心的工程建设领域召开新闻发布会等方式，密切联系群众，切实保障公民知情权。</w:t>
      </w:r>
      <w:bookmarkStart w:id="9" w:name="_GoBack"/>
      <w:bookmarkEnd w:id="9"/>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val="0"/>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市中区住房和城乡建设局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2024年1月16日</w:t>
      </w:r>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6192;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75C9A"/>
    <w:multiLevelType w:val="singleLevel"/>
    <w:tmpl w:val="91875C9A"/>
    <w:lvl w:ilvl="0" w:tentative="0">
      <w:start w:val="3"/>
      <w:numFmt w:val="chineseCounting"/>
      <w:suff w:val="nothing"/>
      <w:lvlText w:val="（%1）"/>
      <w:lvlJc w:val="left"/>
      <w:rPr>
        <w:rFonts w:hint="eastAsia"/>
      </w:rPr>
    </w:lvl>
  </w:abstractNum>
  <w:abstractNum w:abstractNumId="1">
    <w:nsid w:val="B9DD8E14"/>
    <w:multiLevelType w:val="singleLevel"/>
    <w:tmpl w:val="B9DD8E1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OGExOTkxYjA0MzMwODFjMTQwZGI0MDc3Y2JmY2YifQ=="/>
  </w:docVars>
  <w:rsids>
    <w:rsidRoot w:val="00112B69"/>
    <w:rsid w:val="00081823"/>
    <w:rsid w:val="00112B69"/>
    <w:rsid w:val="005A70FF"/>
    <w:rsid w:val="00B03096"/>
    <w:rsid w:val="00F0539A"/>
    <w:rsid w:val="021D046B"/>
    <w:rsid w:val="025E0CC2"/>
    <w:rsid w:val="0561514B"/>
    <w:rsid w:val="0A3E1141"/>
    <w:rsid w:val="0B8F2AB2"/>
    <w:rsid w:val="0D426B65"/>
    <w:rsid w:val="0DB7343A"/>
    <w:rsid w:val="101A475B"/>
    <w:rsid w:val="199E1448"/>
    <w:rsid w:val="1A8870DB"/>
    <w:rsid w:val="1AAF71B2"/>
    <w:rsid w:val="1C704C2B"/>
    <w:rsid w:val="1D276D79"/>
    <w:rsid w:val="1DC53412"/>
    <w:rsid w:val="1FD24907"/>
    <w:rsid w:val="2007106B"/>
    <w:rsid w:val="227F4F5F"/>
    <w:rsid w:val="242239E6"/>
    <w:rsid w:val="24B65C7B"/>
    <w:rsid w:val="271F6DB2"/>
    <w:rsid w:val="28BE4FD8"/>
    <w:rsid w:val="2A366FA5"/>
    <w:rsid w:val="2A6E4A40"/>
    <w:rsid w:val="2B247393"/>
    <w:rsid w:val="2B7E7F7A"/>
    <w:rsid w:val="2D5A2AB9"/>
    <w:rsid w:val="329625FC"/>
    <w:rsid w:val="34AE6DCE"/>
    <w:rsid w:val="34C27E73"/>
    <w:rsid w:val="372B44B7"/>
    <w:rsid w:val="37DD4F2A"/>
    <w:rsid w:val="3CA63654"/>
    <w:rsid w:val="424E6C95"/>
    <w:rsid w:val="42962A0C"/>
    <w:rsid w:val="43677CBB"/>
    <w:rsid w:val="4A263FB9"/>
    <w:rsid w:val="4BE16E0F"/>
    <w:rsid w:val="4C9D326C"/>
    <w:rsid w:val="4DCE1C69"/>
    <w:rsid w:val="57B54864"/>
    <w:rsid w:val="5A891C07"/>
    <w:rsid w:val="5AE6494C"/>
    <w:rsid w:val="5EA95810"/>
    <w:rsid w:val="62A02DE5"/>
    <w:rsid w:val="62DF0CAC"/>
    <w:rsid w:val="64490C92"/>
    <w:rsid w:val="648E436E"/>
    <w:rsid w:val="67BB0B82"/>
    <w:rsid w:val="6EC52406"/>
    <w:rsid w:val="71742F46"/>
    <w:rsid w:val="71A10A3E"/>
    <w:rsid w:val="72BB477E"/>
    <w:rsid w:val="743334DA"/>
    <w:rsid w:val="75082A5D"/>
    <w:rsid w:val="754C48A1"/>
    <w:rsid w:val="79F256D6"/>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Strong"/>
    <w:basedOn w:val="5"/>
    <w:qFormat/>
    <w:uiPriority w:val="22"/>
    <w:rPr>
      <w:b/>
    </w:rPr>
  </w:style>
  <w:style w:type="character" w:styleId="7">
    <w:name w:val="Hyperlink"/>
    <w:basedOn w:val="5"/>
    <w:semiHidden/>
    <w:unhideWhenUsed/>
    <w:qFormat/>
    <w:uiPriority w:val="99"/>
    <w:rPr>
      <w:color w:val="0000FF"/>
      <w:u w:val="single"/>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114</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2024-01-15T02:41:00Z</cp:lastPrinted>
  <dcterms:modified xsi:type="dcterms:W3CDTF">2024-01-18T02:29:19Z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EC013647E3D64601ACD1F6D24E01B803_12</vt:lpwstr>
  </property>
</Properties>
</file>