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b/>
          <w:bCs/>
          <w:color w:val="auto"/>
          <w:sz w:val="44"/>
          <w:szCs w:val="44"/>
          <w:lang w:val="en-US" w:eastAsia="zh-CN"/>
        </w:rPr>
      </w:pPr>
      <w:r>
        <w:rPr>
          <w:rFonts w:hint="eastAsia" w:ascii="方正小标宋简体" w:hAnsi="方正小标宋简体" w:eastAsia="方正小标宋简体"/>
          <w:b/>
          <w:bCs/>
          <w:color w:val="auto"/>
          <w:sz w:val="44"/>
          <w:szCs w:val="44"/>
          <w:lang w:val="en-US" w:eastAsia="zh-CN"/>
        </w:rPr>
        <w:t>市中区税郭镇人民政府</w:t>
      </w:r>
    </w:p>
    <w:p>
      <w:pPr>
        <w:jc w:val="center"/>
        <w:rPr>
          <w:rFonts w:hint="eastAsia"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hAnsi="方正小标宋简体" w:eastAsia="方正小标宋简体"/>
          <w:b/>
          <w:bCs/>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eastAsia="zh-CN" w:bidi="ar-SA"/>
        </w:rPr>
      </w:pPr>
      <w:r>
        <w:rPr>
          <w:rFonts w:hint="default" w:ascii="Times New Roman" w:hAnsi="Times New Roman" w:eastAsia="仿宋_GB2312" w:cs="Times New Roman"/>
          <w:color w:val="000000"/>
          <w:kern w:val="2"/>
          <w:sz w:val="32"/>
          <w:szCs w:val="32"/>
          <w:lang w:eastAsia="zh-CN" w:bidi="ar-SA"/>
        </w:rPr>
        <w:t>本年度报告根据《中华人民共和国政府信息公开条例》和《国务院办公厅政府信息与政务公开办公室关于印发&lt;中华人民共和国政府信息公开工作年度报告格式&gt;的通知》相关要求编制并向社会公开。本年度报告电子版可从市中区人民政府门户网站（http://www.zzszq.gov.cn/）查阅或下载。本报告所列数据的统计时限自2023年1月1日起至2023年12月31日止。如对本报告有疑问，可与</w:t>
      </w:r>
      <w:r>
        <w:rPr>
          <w:rFonts w:hint="default" w:ascii="Times New Roman" w:hAnsi="Times New Roman" w:eastAsia="仿宋_GB2312" w:cs="Times New Roman"/>
          <w:color w:val="000000"/>
          <w:kern w:val="2"/>
          <w:sz w:val="32"/>
          <w:szCs w:val="32"/>
          <w:lang w:val="en-US" w:eastAsia="zh-CN" w:bidi="ar-SA"/>
        </w:rPr>
        <w:t>市中区税郭镇人民政府</w:t>
      </w:r>
      <w:r>
        <w:rPr>
          <w:rFonts w:hint="default" w:ascii="Times New Roman" w:hAnsi="Times New Roman" w:eastAsia="仿宋_GB2312" w:cs="Times New Roman"/>
          <w:color w:val="000000"/>
          <w:kern w:val="2"/>
          <w:sz w:val="32"/>
          <w:szCs w:val="32"/>
          <w:lang w:eastAsia="zh-CN" w:bidi="ar-SA"/>
        </w:rPr>
        <w:t>联系（地址:</w:t>
      </w:r>
      <w:r>
        <w:rPr>
          <w:rFonts w:hint="default" w:ascii="Times New Roman" w:hAnsi="Times New Roman" w:eastAsia="仿宋_GB2312" w:cs="Times New Roman"/>
          <w:color w:val="000000"/>
          <w:kern w:val="2"/>
          <w:sz w:val="32"/>
          <w:szCs w:val="32"/>
          <w:lang w:val="en-US" w:eastAsia="zh-CN" w:bidi="ar-SA"/>
        </w:rPr>
        <w:t>枣庄市市中区税郭镇驻地</w:t>
      </w:r>
      <w:r>
        <w:rPr>
          <w:rFonts w:hint="default" w:ascii="Times New Roman" w:hAnsi="Times New Roman" w:eastAsia="仿宋_GB2312" w:cs="Times New Roman"/>
          <w:color w:val="000000"/>
          <w:kern w:val="2"/>
          <w:sz w:val="32"/>
          <w:szCs w:val="32"/>
          <w:lang w:eastAsia="zh-CN" w:bidi="ar-SA"/>
        </w:rPr>
        <w:t>，邮编：</w:t>
      </w:r>
      <w:r>
        <w:rPr>
          <w:rFonts w:hint="default" w:ascii="Times New Roman" w:hAnsi="Times New Roman" w:eastAsia="仿宋_GB2312" w:cs="Times New Roman"/>
          <w:color w:val="000000"/>
          <w:kern w:val="2"/>
          <w:sz w:val="32"/>
          <w:szCs w:val="32"/>
          <w:lang w:val="en-US" w:eastAsia="zh-CN" w:bidi="ar-SA"/>
        </w:rPr>
        <w:t>277100</w:t>
      </w:r>
      <w:r>
        <w:rPr>
          <w:rFonts w:hint="default" w:ascii="Times New Roman" w:hAnsi="Times New Roman" w:eastAsia="仿宋_GB2312" w:cs="Times New Roman"/>
          <w:color w:val="000000"/>
          <w:kern w:val="2"/>
          <w:sz w:val="32"/>
          <w:szCs w:val="32"/>
          <w:lang w:eastAsia="zh-CN" w:bidi="ar-SA"/>
        </w:rPr>
        <w:t>，电话：</w:t>
      </w:r>
      <w:r>
        <w:rPr>
          <w:rFonts w:hint="default" w:ascii="Times New Roman" w:hAnsi="Times New Roman" w:eastAsia="仿宋_GB2312" w:cs="Times New Roman"/>
          <w:color w:val="000000"/>
          <w:kern w:val="2"/>
          <w:sz w:val="32"/>
          <w:szCs w:val="32"/>
          <w:lang w:val="en-US" w:eastAsia="zh-CN" w:bidi="ar-SA"/>
        </w:rPr>
        <w:t>0632-3511036</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电子邮箱：shuiguozhenadmin@zz.shandong.cn ）</w:t>
      </w:r>
      <w:r>
        <w:rPr>
          <w:rFonts w:hint="default" w:ascii="Times New Roman" w:hAnsi="Times New Roman" w:eastAsia="仿宋_GB2312" w:cs="Times New Roman"/>
          <w:color w:val="000000"/>
          <w:kern w:val="2"/>
          <w:sz w:val="32"/>
          <w:szCs w:val="32"/>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000000"/>
          <w:kern w:val="2"/>
          <w:sz w:val="32"/>
          <w:szCs w:val="32"/>
          <w:lang w:eastAsia="zh-CN" w:bidi="ar-SA"/>
        </w:rPr>
      </w:pPr>
      <w:r>
        <w:rPr>
          <w:rFonts w:hint="default" w:ascii="Times New Roman" w:hAnsi="Times New Roman" w:eastAsia="黑体" w:cs="Times New Roman"/>
          <w:b/>
          <w:bCs/>
          <w:color w:val="auto"/>
          <w:sz w:val="32"/>
          <w:szCs w:val="32"/>
          <w:shd w:val="clear" w:color="auto" w:fill="FFFFFF"/>
          <w:lang w:val="en-US" w:eastAsia="zh-CN"/>
        </w:rPr>
        <w:t>一、</w:t>
      </w:r>
      <w:r>
        <w:rPr>
          <w:rFonts w:hint="default" w:ascii="Times New Roman" w:hAnsi="Times New Roman" w:eastAsia="黑体" w:cs="Times New Roman"/>
          <w:b/>
          <w:bCs/>
          <w:color w:val="auto"/>
          <w:sz w:val="32"/>
          <w:szCs w:val="32"/>
          <w:shd w:val="clear" w:color="auto" w:fill="FFFFFF"/>
          <w:lang w:eastAsia="zh-CN"/>
        </w:rPr>
        <w:t>总体情况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2023年，税郭镇认真贯彻落实《中华人民共和国政府信息公开条例》，着力健全完善信息公开工作体系，强化信息公开载体建设，结合我镇工作实际，进一步健全组织机构，完善信息公开机制，强化各项工作措施，在扩大公众知情权、满足公众信息需求方面取得了积极成效。</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3" w:firstLineChars="200"/>
        <w:contextualSpacing/>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eastAsia="zh-CN"/>
        </w:rPr>
        <w:t>主动公开</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contextualSpacing/>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2023年，税郭镇主动公开信息1200余条，其中在区政府门户网站公开80条，政务新媒体公开1000余条，其他渠道公开120余条。</w:t>
      </w:r>
    </w:p>
    <w:p>
      <w:pPr>
        <w:keepNext w:val="0"/>
        <w:keepLines w:val="0"/>
        <w:pageBreakBefore w:val="0"/>
        <w:widowControl/>
        <w:kinsoku/>
        <w:wordWrap/>
        <w:overflowPunct/>
        <w:topLinePunct w:val="0"/>
        <w:autoSpaceDE/>
        <w:autoSpaceDN/>
        <w:bidi w:val="0"/>
        <w:adjustRightInd/>
        <w:snapToGrid/>
        <w:spacing w:line="540" w:lineRule="exact"/>
        <w:ind w:firstLine="643" w:firstLineChars="200"/>
        <w:contextualSpacing/>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依申请公开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202</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税郭镇</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共受理政府信息公开申请</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涉及</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领域。</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其中予以公开申请</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件，均在法定期限内予以答复。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本年度依申请公开政府信息未收取任何费用。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政府信息公开被申请行政复议</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件，因公民、法人和其他组织认为行政机关政府信息公开工作具体行政行为侵犯其合法权益，提起行政诉讼</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政府信息管理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进一步加强政府信息公开管理，明确专人负责，加强重点领域信息公开，促进信息发布内容以及审核工作的制度化、规范化，强化已发布信息的常态化核查工作。重点排查个人隐私信息、错敏词等情况，坚持边查边改、立行立改。强化信息发布形式多样化。</w:t>
      </w:r>
    </w:p>
    <w:p>
      <w:pPr>
        <w:keepNext w:val="0"/>
        <w:keepLines w:val="0"/>
        <w:pageBreakBefore w:val="0"/>
        <w:numPr>
          <w:ilvl w:val="0"/>
          <w:numId w:val="2"/>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政府信息公开</w:t>
      </w:r>
      <w:r>
        <w:rPr>
          <w:rFonts w:hint="eastAsia" w:ascii="楷体_GB2312" w:hAnsi="楷体_GB2312" w:eastAsia="楷体_GB2312" w:cs="楷体_GB2312"/>
          <w:b/>
          <w:bCs w:val="0"/>
          <w:color w:val="auto"/>
          <w:sz w:val="32"/>
          <w:szCs w:val="32"/>
          <w:lang w:eastAsia="zh-CN"/>
        </w:rPr>
        <w:t>平台建设</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依托“</w:t>
      </w:r>
      <w:r>
        <w:rPr>
          <w:rFonts w:hint="default" w:ascii="Times New Roman" w:hAnsi="Times New Roman" w:eastAsia="仿宋_GB2312" w:cs="Times New Roman"/>
          <w:color w:val="auto"/>
          <w:sz w:val="32"/>
          <w:szCs w:val="32"/>
          <w:shd w:val="clear" w:color="auto" w:fill="FFFFFF"/>
          <w:lang w:val="en-US" w:eastAsia="zh-CN"/>
        </w:rPr>
        <w:t>枣庄市市中区人民政府</w:t>
      </w:r>
      <w:r>
        <w:rPr>
          <w:rFonts w:hint="default" w:ascii="Times New Roman" w:hAnsi="Times New Roman" w:eastAsia="仿宋_GB2312" w:cs="Times New Roman"/>
          <w:color w:val="auto"/>
          <w:sz w:val="32"/>
          <w:szCs w:val="32"/>
          <w:shd w:val="clear" w:color="auto" w:fill="FFFFFF"/>
          <w:lang w:eastAsia="zh-CN"/>
        </w:rPr>
        <w:t>网站”“</w:t>
      </w:r>
      <w:r>
        <w:rPr>
          <w:rFonts w:hint="default" w:ascii="Times New Roman" w:hAnsi="Times New Roman" w:eastAsia="仿宋_GB2312" w:cs="Times New Roman"/>
          <w:color w:val="auto"/>
          <w:sz w:val="32"/>
          <w:szCs w:val="32"/>
          <w:shd w:val="clear" w:color="auto" w:fill="FFFFFF"/>
          <w:lang w:val="en-US" w:eastAsia="zh-CN"/>
        </w:rPr>
        <w:t>政府信息公开专栏</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政务新媒体“</w:t>
      </w:r>
      <w:r>
        <w:rPr>
          <w:rFonts w:hint="eastAsia" w:ascii="Times New Roman" w:hAnsi="Times New Roman" w:eastAsia="仿宋_GB2312" w:cs="Times New Roman"/>
          <w:color w:val="auto"/>
          <w:sz w:val="32"/>
          <w:szCs w:val="32"/>
          <w:shd w:val="clear" w:color="auto" w:fill="FFFFFF"/>
          <w:lang w:val="en-US" w:eastAsia="zh-CN"/>
        </w:rPr>
        <w:t>幸福税郭</w:t>
      </w:r>
      <w:r>
        <w:rPr>
          <w:rFonts w:hint="default" w:ascii="Times New Roman" w:hAnsi="Times New Roman" w:eastAsia="仿宋_GB2312" w:cs="Times New Roman"/>
          <w:color w:val="auto"/>
          <w:sz w:val="32"/>
          <w:szCs w:val="32"/>
          <w:shd w:val="clear" w:color="auto" w:fill="FFFFFF"/>
          <w:lang w:val="en-US" w:eastAsia="zh-CN"/>
        </w:rPr>
        <w:t>”微信公众号</w:t>
      </w:r>
      <w:r>
        <w:rPr>
          <w:rFonts w:hint="eastAsia" w:ascii="Times New Roman" w:hAnsi="Times New Roman" w:eastAsia="仿宋_GB2312" w:cs="Times New Roman"/>
          <w:color w:val="auto"/>
          <w:sz w:val="32"/>
          <w:szCs w:val="32"/>
          <w:shd w:val="clear" w:color="auto" w:fill="FFFFFF"/>
          <w:lang w:val="en-US" w:eastAsia="zh-CN"/>
        </w:rPr>
        <w:t>、市中云报</w:t>
      </w:r>
      <w:r>
        <w:rPr>
          <w:rFonts w:hint="eastAsia" w:eastAsia="仿宋_GB2312" w:cs="Times New Roman"/>
          <w:color w:val="auto"/>
          <w:sz w:val="32"/>
          <w:szCs w:val="32"/>
          <w:shd w:val="clear" w:color="auto" w:fill="FFFFFF"/>
          <w:lang w:val="en-US" w:eastAsia="zh-CN"/>
        </w:rPr>
        <w:t>政务</w:t>
      </w:r>
      <w:r>
        <w:rPr>
          <w:rFonts w:hint="eastAsia" w:ascii="Times New Roman" w:hAnsi="Times New Roman" w:eastAsia="仿宋_GB2312" w:cs="Times New Roman"/>
          <w:color w:val="auto"/>
          <w:sz w:val="32"/>
          <w:szCs w:val="32"/>
          <w:shd w:val="clear" w:color="auto" w:fill="FFFFFF"/>
          <w:lang w:val="en-US" w:eastAsia="zh-CN"/>
        </w:rPr>
        <w:t>号“税郭镇”</w:t>
      </w:r>
      <w:r>
        <w:rPr>
          <w:rFonts w:hint="default" w:ascii="Times New Roman" w:hAnsi="Times New Roman" w:eastAsia="仿宋_GB2312" w:cs="Times New Roman"/>
          <w:color w:val="auto"/>
          <w:sz w:val="32"/>
          <w:szCs w:val="32"/>
          <w:shd w:val="clear" w:color="auto" w:fill="FFFFFF"/>
          <w:lang w:eastAsia="zh-CN"/>
        </w:rPr>
        <w:t>等平台发布信息，推动政务公开信息向不同群体精准推送。推进政务公开专区建设。探索打造建设具备信息查询、办事咨询、自助办理、依申请公开办理等功能的“一站化”政务公开专区。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sz w:val="32"/>
          <w:szCs w:val="32"/>
          <w:lang w:eastAsia="zh-CN" w:bidi="ar-SA"/>
        </w:rPr>
      </w:pPr>
      <w:r>
        <w:rPr>
          <w:rFonts w:hint="eastAsia" w:ascii="楷体_GB2312" w:hAnsi="楷体_GB2312" w:eastAsia="楷体_GB2312" w:cs="楷体_GB2312"/>
          <w:b/>
          <w:bCs/>
          <w:color w:val="auto"/>
          <w:sz w:val="32"/>
          <w:szCs w:val="32"/>
          <w:lang w:eastAsia="zh-CN" w:bidi="ar-SA"/>
        </w:rPr>
        <w:t>监督保障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我镇高度重视政府信息公开工作，认真贯彻落实《政府信息公开条例》，根据实际，及时调整了税郭镇政务公开工作领导小组，并及时更新政府班子分工情况，健全政务公开责任、审议、评议、反馈、审查和监督等六项制度，明确党政办、政务服务办等相关部门具体负责统筹、协调、编制、公布政府信息公开内容，保障政府信息及时公开到位。</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80"/>
        <w:textAlignment w:val="auto"/>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rPr>
        <w:t>主动公开政府信息情况</w:t>
      </w:r>
    </w:p>
    <w:tbl>
      <w:tblPr>
        <w:tblStyle w:val="5"/>
        <w:tblpPr w:leftFromText="180" w:rightFromText="180" w:vertAnchor="text" w:horzAnchor="page" w:tblpX="1776" w:tblpY="208"/>
        <w:tblOverlap w:val="never"/>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single" w:color="auto" w:sz="4" w:space="0"/>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r>
    </w:tbl>
    <w:p>
      <w:pPr>
        <w:pStyle w:val="8"/>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80" w:firstLineChars="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收到和处理政府信息公开申请情况</w:t>
      </w:r>
    </w:p>
    <w:tbl>
      <w:tblPr>
        <w:tblStyle w:val="5"/>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63"/>
        <w:gridCol w:w="3025"/>
        <w:gridCol w:w="718"/>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204"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 w:val="21"/>
                <w:szCs w:val="21"/>
                <w:lang w:eastAsia="zh-CN" w:bidi="ar-SA"/>
              </w:rPr>
            </w:pPr>
            <w:r>
              <w:rPr>
                <w:rFonts w:hint="default" w:ascii="Times New Roman" w:hAnsi="Times New Roman" w:eastAsia="楷体_GB2312" w:cs="Times New Roman"/>
                <w:kern w:val="0"/>
                <w:sz w:val="21"/>
                <w:szCs w:val="21"/>
                <w:lang w:eastAsia="zh-CN" w:bidi="ar-SA"/>
              </w:rPr>
              <w:t>（本列数据的勾稽关系为：第一项加第二项之和，</w:t>
            </w:r>
          </w:p>
          <w:p>
            <w:pPr>
              <w:widowControl/>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楷体_GB2312" w:cs="Times New Roman"/>
                <w:kern w:val="0"/>
                <w:sz w:val="21"/>
                <w:szCs w:val="21"/>
                <w:lang w:eastAsia="zh-CN" w:bidi="ar-SA"/>
              </w:rPr>
              <w:t>等于第三项加第四项之和）</w:t>
            </w:r>
          </w:p>
        </w:tc>
        <w:tc>
          <w:tcPr>
            <w:tcW w:w="4709"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204"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kern w:val="2"/>
                <w:sz w:val="21"/>
                <w:szCs w:val="21"/>
                <w:lang w:eastAsia="zh-CN" w:bidi="ar-SA"/>
              </w:rPr>
            </w:pPr>
          </w:p>
        </w:tc>
        <w:tc>
          <w:tcPr>
            <w:tcW w:w="718"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jc w:val="center"/>
        </w:trPr>
        <w:tc>
          <w:tcPr>
            <w:tcW w:w="5204"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kern w:val="2"/>
                <w:sz w:val="21"/>
                <w:szCs w:val="21"/>
                <w:lang w:eastAsia="zh-CN" w:bidi="ar-SA"/>
              </w:rPr>
            </w:pPr>
          </w:p>
        </w:tc>
        <w:tc>
          <w:tcPr>
            <w:tcW w:w="718" w:type="dxa"/>
            <w:vMerge w:val="continue"/>
            <w:shd w:val="clear" w:color="auto" w:fill="auto"/>
            <w:tcMar>
              <w:left w:w="108" w:type="dxa"/>
              <w:right w:w="108" w:type="dxa"/>
            </w:tcMar>
            <w:vAlign w:val="center"/>
          </w:tcPr>
          <w:p>
            <w:pPr>
              <w:jc w:val="center"/>
              <w:rPr>
                <w:rFonts w:hint="default" w:ascii="Times New Roman" w:hAnsi="Times New Roman" w:eastAsia="黑体" w:cs="Times New Roman"/>
                <w:kern w:val="2"/>
                <w:sz w:val="21"/>
                <w:szCs w:val="21"/>
                <w:lang w:eastAsia="zh-CN" w:bidi="ar-SA"/>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121" w:leftChars="-51" w:right="-122" w:rightChars="-51" w:hanging="1"/>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122" w:leftChars="-51" w:right="-122" w:rightChars="-51"/>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122" w:leftChars="-51" w:right="-122" w:rightChars="-51"/>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121" w:leftChars="-51" w:right="-122" w:rightChars="-51" w:hanging="1"/>
              <w:jc w:val="center"/>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pPr>
              <w:widowControl/>
              <w:spacing w:line="360" w:lineRule="exact"/>
              <w:ind w:left="-72" w:leftChars="-30" w:right="-154" w:rightChars="-64"/>
              <w:jc w:val="center"/>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204" w:type="dxa"/>
            <w:gridSpan w:val="3"/>
            <w:shd w:val="clear" w:color="auto" w:fill="auto"/>
            <w:tcMar>
              <w:left w:w="108" w:type="dxa"/>
              <w:right w:w="108" w:type="dxa"/>
            </w:tcMar>
            <w:vAlign w:val="center"/>
          </w:tcPr>
          <w:p>
            <w:pPr>
              <w:widowControl/>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一、本年新收政府信息公开申请数量</w:t>
            </w:r>
          </w:p>
        </w:tc>
        <w:tc>
          <w:tcPr>
            <w:tcW w:w="71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204" w:type="dxa"/>
            <w:gridSpan w:val="3"/>
            <w:shd w:val="clear" w:color="auto" w:fill="auto"/>
            <w:tcMar>
              <w:left w:w="108" w:type="dxa"/>
              <w:right w:w="108" w:type="dxa"/>
            </w:tcMar>
            <w:vAlign w:val="center"/>
          </w:tcPr>
          <w:p>
            <w:pPr>
              <w:widowControl/>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二、上年结转政府信息公开申请数量</w:t>
            </w:r>
          </w:p>
        </w:tc>
        <w:tc>
          <w:tcPr>
            <w:tcW w:w="71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416" w:type="dxa"/>
            <w:vMerge w:val="restart"/>
            <w:shd w:val="clear" w:color="auto" w:fill="auto"/>
            <w:tcMar>
              <w:left w:w="108" w:type="dxa"/>
              <w:right w:w="108" w:type="dxa"/>
            </w:tcMar>
            <w:vAlign w:val="center"/>
          </w:tcPr>
          <w:p>
            <w:pPr>
              <w:widowControl/>
              <w:spacing w:after="180"/>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三、本年度办理结果</w:t>
            </w:r>
          </w:p>
        </w:tc>
        <w:tc>
          <w:tcPr>
            <w:tcW w:w="4788" w:type="dxa"/>
            <w:gridSpan w:val="2"/>
            <w:shd w:val="clear" w:color="auto" w:fill="auto"/>
            <w:tcMar>
              <w:left w:w="108" w:type="dxa"/>
              <w:right w:w="108" w:type="dxa"/>
            </w:tcMar>
            <w:vAlign w:val="center"/>
          </w:tcPr>
          <w:p>
            <w:pPr>
              <w:widowControl/>
              <w:jc w:val="both"/>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（一）予以公开</w:t>
            </w:r>
          </w:p>
        </w:tc>
        <w:tc>
          <w:tcPr>
            <w:tcW w:w="71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4788"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（二）部分公开（区分处理的，只计这一情形，不计其他情形）</w:t>
            </w:r>
          </w:p>
        </w:tc>
        <w:tc>
          <w:tcPr>
            <w:tcW w:w="71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22" w:leftChars="-51" w:firstLine="113"/>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（三）不予公开</w:t>
            </w:r>
          </w:p>
        </w:tc>
        <w:tc>
          <w:tcPr>
            <w:tcW w:w="30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1.属于国家秘密</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30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2.其他法律行政法规禁止公开</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30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3.危及“三安全一稳定”</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30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4.保护第三方合法权益</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30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5.属于三类内部事务信息</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30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6.属于四类过程性信息</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30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7.属于行政执法案卷</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30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8.属于行政查询事项</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22" w:leftChars="-51" w:firstLine="113"/>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（四）无法提供</w:t>
            </w:r>
          </w:p>
        </w:tc>
        <w:tc>
          <w:tcPr>
            <w:tcW w:w="30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1.本机关不掌握相关政府信息</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continue"/>
            <w:shd w:val="clear" w:color="auto" w:fill="auto"/>
            <w:tcMar>
              <w:left w:w="108" w:type="dxa"/>
              <w:right w:w="108" w:type="dxa"/>
            </w:tcMar>
            <w:vAlign w:val="center"/>
          </w:tcPr>
          <w:p>
            <w:pPr>
              <w:spacing w:line="200" w:lineRule="exact"/>
              <w:ind w:left="-122" w:leftChars="-51"/>
              <w:jc w:val="both"/>
              <w:rPr>
                <w:rFonts w:hint="default" w:ascii="Times New Roman" w:hAnsi="Times New Roman" w:eastAsia="黑体" w:cs="Times New Roman"/>
                <w:kern w:val="2"/>
                <w:sz w:val="21"/>
                <w:szCs w:val="21"/>
                <w:lang w:eastAsia="zh-CN" w:bidi="ar-SA"/>
              </w:rPr>
            </w:pPr>
          </w:p>
        </w:tc>
        <w:tc>
          <w:tcPr>
            <w:tcW w:w="30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2.没有现成信息需要另行制作</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continue"/>
            <w:shd w:val="clear" w:color="auto" w:fill="auto"/>
            <w:tcMar>
              <w:left w:w="108" w:type="dxa"/>
              <w:right w:w="108" w:type="dxa"/>
            </w:tcMar>
            <w:vAlign w:val="center"/>
          </w:tcPr>
          <w:p>
            <w:pPr>
              <w:spacing w:line="200" w:lineRule="exact"/>
              <w:ind w:left="-122" w:leftChars="-51"/>
              <w:jc w:val="both"/>
              <w:rPr>
                <w:rFonts w:hint="default" w:ascii="Times New Roman" w:hAnsi="Times New Roman" w:eastAsia="黑体" w:cs="Times New Roman"/>
                <w:kern w:val="2"/>
                <w:sz w:val="21"/>
                <w:szCs w:val="21"/>
                <w:lang w:eastAsia="zh-CN" w:bidi="ar-SA"/>
              </w:rPr>
            </w:pPr>
          </w:p>
        </w:tc>
        <w:tc>
          <w:tcPr>
            <w:tcW w:w="30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3.补正后申请内容仍不明确</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22" w:leftChars="-51" w:firstLine="113"/>
              <w:jc w:val="both"/>
              <w:textAlignment w:val="auto"/>
              <w:rPr>
                <w:rFonts w:hint="default" w:ascii="Times New Roman" w:hAnsi="Times New Roman" w:eastAsia="黑体" w:cs="Times New Roman"/>
                <w:kern w:val="2"/>
                <w:sz w:val="21"/>
                <w:szCs w:val="21"/>
                <w:lang w:eastAsia="zh-CN" w:bidi="ar-SA"/>
              </w:rPr>
            </w:pPr>
            <w:r>
              <w:rPr>
                <w:rFonts w:hint="default" w:ascii="Times New Roman" w:hAnsi="Times New Roman" w:eastAsia="黑体" w:cs="Times New Roman"/>
                <w:kern w:val="0"/>
                <w:sz w:val="21"/>
                <w:szCs w:val="21"/>
                <w:lang w:eastAsia="zh-CN" w:bidi="ar-SA"/>
              </w:rPr>
              <w:t>（五）不予处理</w:t>
            </w:r>
          </w:p>
        </w:tc>
        <w:tc>
          <w:tcPr>
            <w:tcW w:w="30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1.信访举报投诉类申请</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30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0"/>
                <w:sz w:val="21"/>
                <w:szCs w:val="21"/>
                <w:lang w:eastAsia="zh-CN" w:bidi="ar-SA"/>
              </w:rPr>
              <w:t>2.重复申请</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30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3.要求提供公开出版物</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30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4.无正当理由大量反复申请</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kern w:val="2"/>
                <w:sz w:val="21"/>
                <w:szCs w:val="21"/>
                <w:lang w:eastAsia="zh-CN" w:bidi="ar-SA"/>
              </w:rPr>
            </w:pPr>
          </w:p>
        </w:tc>
        <w:tc>
          <w:tcPr>
            <w:tcW w:w="30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0"/>
                <w:sz w:val="21"/>
                <w:szCs w:val="21"/>
                <w:lang w:eastAsia="zh-CN" w:bidi="ar-SA"/>
              </w:rPr>
              <w:t>5.要求行政机关确认或重新出具已获取信息</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kern w:val="0"/>
                <w:sz w:val="21"/>
                <w:szCs w:val="21"/>
                <w:lang w:eastAsia="zh-CN" w:bidi="ar-SA"/>
              </w:rPr>
            </w:pPr>
            <w:r>
              <w:rPr>
                <w:rFonts w:hint="eastAsia" w:eastAsia="黑体" w:cs="Times New Roman"/>
                <w:kern w:val="0"/>
                <w:sz w:val="21"/>
                <w:szCs w:val="21"/>
                <w:lang w:eastAsia="zh-CN" w:bidi="ar-SA"/>
              </w:rPr>
              <w:t>（</w:t>
            </w:r>
            <w:r>
              <w:rPr>
                <w:rFonts w:hint="eastAsia" w:eastAsia="黑体" w:cs="Times New Roman"/>
                <w:kern w:val="0"/>
                <w:sz w:val="21"/>
                <w:szCs w:val="21"/>
                <w:lang w:val="en-US" w:eastAsia="zh-CN" w:bidi="ar-SA"/>
              </w:rPr>
              <w:t>六）</w:t>
            </w:r>
            <w:r>
              <w:rPr>
                <w:rFonts w:hint="default" w:ascii="Times New Roman" w:hAnsi="Times New Roman" w:eastAsia="黑体" w:cs="Times New Roman"/>
                <w:kern w:val="0"/>
                <w:sz w:val="21"/>
                <w:szCs w:val="21"/>
                <w:lang w:eastAsia="zh-CN" w:bidi="ar-SA"/>
              </w:rPr>
              <w:t>其他处理</w:t>
            </w:r>
          </w:p>
        </w:tc>
        <w:tc>
          <w:tcPr>
            <w:tcW w:w="302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113"/>
              <w:jc w:val="both"/>
              <w:textAlignment w:val="auto"/>
              <w:rPr>
                <w:rFonts w:hint="default" w:ascii="Times New Roman" w:hAnsi="Times New Roman" w:eastAsia="仿宋_GB2312" w:cs="Times New Roman"/>
                <w:kern w:val="2"/>
                <w:sz w:val="21"/>
                <w:szCs w:val="22"/>
                <w:lang w:eastAsia="zh-CN" w:bidi="ar-SA"/>
              </w:rPr>
            </w:pPr>
            <w:r>
              <w:rPr>
                <w:rFonts w:hint="default" w:ascii="Times New Roman" w:hAnsi="Times New Roman" w:eastAsia="仿宋_GB2312" w:cs="Times New Roman"/>
                <w:kern w:val="2"/>
                <w:sz w:val="21"/>
                <w:szCs w:val="22"/>
                <w:lang w:eastAsia="zh-CN" w:bidi="ar-SA"/>
              </w:rPr>
              <w:t>1.申请人无正当理由逾期不补正、行政机关不再处理其政府信息公开申请</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continue"/>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kern w:val="0"/>
                <w:sz w:val="21"/>
                <w:szCs w:val="21"/>
                <w:lang w:eastAsia="zh-CN" w:bidi="ar-SA"/>
              </w:rPr>
            </w:pPr>
          </w:p>
        </w:tc>
        <w:tc>
          <w:tcPr>
            <w:tcW w:w="302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113"/>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2"/>
                <w:sz w:val="21"/>
                <w:szCs w:val="22"/>
                <w:lang w:eastAsia="zh-CN" w:bidi="ar-SA"/>
              </w:rPr>
              <w:t>2.申请人逾期未按收费通知要求缴纳费用、行政机关不再处理其政府信息公开申请</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1763" w:type="dxa"/>
            <w:vMerge w:val="continue"/>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kern w:val="0"/>
                <w:sz w:val="21"/>
                <w:szCs w:val="21"/>
                <w:lang w:eastAsia="zh-CN" w:bidi="ar-SA"/>
              </w:rPr>
            </w:pPr>
          </w:p>
        </w:tc>
        <w:tc>
          <w:tcPr>
            <w:tcW w:w="302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113"/>
              <w:jc w:val="both"/>
              <w:textAlignment w:val="auto"/>
              <w:rPr>
                <w:rFonts w:hint="default" w:ascii="Times New Roman" w:hAnsi="Times New Roman" w:eastAsia="仿宋_GB2312" w:cs="Times New Roman"/>
                <w:kern w:val="0"/>
                <w:sz w:val="21"/>
                <w:szCs w:val="21"/>
                <w:lang w:eastAsia="zh-CN" w:bidi="ar-SA"/>
              </w:rPr>
            </w:pPr>
            <w:r>
              <w:rPr>
                <w:rFonts w:hint="default" w:ascii="Times New Roman" w:hAnsi="Times New Roman" w:eastAsia="仿宋_GB2312" w:cs="Times New Roman"/>
                <w:kern w:val="2"/>
                <w:sz w:val="21"/>
                <w:szCs w:val="22"/>
                <w:lang w:eastAsia="zh-CN" w:bidi="ar-SA"/>
              </w:rPr>
              <w:t>3.其他</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top"/>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23" w:hRule="atLeas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kern w:val="2"/>
                <w:sz w:val="21"/>
                <w:szCs w:val="21"/>
                <w:lang w:eastAsia="zh-CN" w:bidi="ar-SA"/>
              </w:rPr>
            </w:pPr>
          </w:p>
        </w:tc>
        <w:tc>
          <w:tcPr>
            <w:tcW w:w="4788" w:type="dxa"/>
            <w:gridSpan w:val="2"/>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（七）总计</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204" w:type="dxa"/>
            <w:gridSpan w:val="3"/>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kern w:val="0"/>
                <w:sz w:val="21"/>
                <w:szCs w:val="21"/>
                <w:lang w:eastAsia="zh-CN" w:bidi="ar-SA"/>
              </w:rPr>
            </w:pPr>
            <w:r>
              <w:rPr>
                <w:rFonts w:hint="default" w:ascii="Times New Roman" w:hAnsi="Times New Roman" w:eastAsia="黑体" w:cs="Times New Roman"/>
                <w:kern w:val="0"/>
                <w:sz w:val="21"/>
                <w:szCs w:val="21"/>
                <w:lang w:eastAsia="zh-CN" w:bidi="ar-SA"/>
              </w:rPr>
              <w:t>四、结转下年度继续办理</w:t>
            </w:r>
          </w:p>
        </w:tc>
        <w:tc>
          <w:tcPr>
            <w:tcW w:w="718"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bl>
    <w:p>
      <w:pPr>
        <w:pStyle w:val="8"/>
        <w:keepNext w:val="0"/>
        <w:keepLines w:val="0"/>
        <w:pageBreakBefore w:val="0"/>
        <w:widowControl w:val="0"/>
        <w:numPr>
          <w:numId w:val="0"/>
        </w:numPr>
        <w:kinsoku/>
        <w:wordWrap/>
        <w:overflowPunct/>
        <w:topLinePunct w:val="0"/>
        <w:autoSpaceDE/>
        <w:autoSpaceDN/>
        <w:bidi w:val="0"/>
        <w:adjustRightInd/>
        <w:snapToGrid/>
        <w:spacing w:line="560" w:lineRule="exact"/>
        <w:ind w:left="578" w:leftChars="0"/>
        <w:textAlignment w:val="auto"/>
        <w:rPr>
          <w:rFonts w:hint="default" w:ascii="Times New Roman" w:hAnsi="Times New Roman" w:eastAsia="黑体" w:cs="Times New Roman"/>
          <w:b/>
          <w:bCs w:val="0"/>
          <w:color w:val="auto"/>
          <w:sz w:val="32"/>
          <w:szCs w:val="32"/>
        </w:rPr>
      </w:pPr>
      <w:r>
        <w:rPr>
          <w:rFonts w:hint="eastAsia" w:ascii="Times New Roman" w:hAnsi="Times New Roman" w:eastAsia="黑体" w:cs="Times New Roman"/>
          <w:b/>
          <w:bCs w:val="0"/>
          <w:color w:val="auto"/>
          <w:sz w:val="32"/>
          <w:szCs w:val="32"/>
          <w:lang w:val="en-US" w:eastAsia="zh-CN"/>
        </w:rPr>
        <w:t>四、</w:t>
      </w:r>
      <w:r>
        <w:rPr>
          <w:rFonts w:hint="default" w:ascii="Times New Roman" w:hAnsi="Times New Roman" w:eastAsia="黑体" w:cs="Times New Roman"/>
          <w:b/>
          <w:bCs w:val="0"/>
          <w:color w:val="auto"/>
          <w:sz w:val="32"/>
          <w:szCs w:val="32"/>
        </w:rPr>
        <w:t>政府信息公开行政复议、行政诉讼情况</w:t>
      </w:r>
    </w:p>
    <w:tbl>
      <w:tblPr>
        <w:tblStyle w:val="5"/>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539" w:hRule="exact"/>
          <w:jc w:val="center"/>
        </w:trPr>
        <w:tc>
          <w:tcPr>
            <w:tcW w:w="3068" w:type="dxa"/>
            <w:gridSpan w:val="5"/>
            <w:tcBorders>
              <w:top w:val="single" w:color="auto" w:sz="4" w:space="0"/>
              <w:left w:val="single" w:color="auto" w:sz="4" w:space="0"/>
            </w:tcBorders>
            <w:shd w:val="clear" w:color="auto" w:fill="auto"/>
            <w:vAlign w:val="top"/>
          </w:tcPr>
          <w:p>
            <w:pPr>
              <w:pStyle w:val="9"/>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auto"/>
            <w:vAlign w:val="top"/>
          </w:tcPr>
          <w:p>
            <w:pPr>
              <w:pStyle w:val="9"/>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539" w:hRule="exact"/>
          <w:jc w:val="center"/>
        </w:trPr>
        <w:tc>
          <w:tcPr>
            <w:tcW w:w="629" w:type="dxa"/>
            <w:vMerge w:val="restart"/>
            <w:tcBorders>
              <w:top w:val="single" w:color="auto" w:sz="4" w:space="0"/>
              <w:left w:val="single" w:color="auto"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auto"/>
            <w:textDirection w:val="tbRlV"/>
            <w:vAlign w:val="center"/>
          </w:tcPr>
          <w:p>
            <w:pPr>
              <w:pStyle w:val="10"/>
              <w:keepNext w:val="0"/>
              <w:keepLines w:val="0"/>
              <w:pageBreakBefore w:val="0"/>
              <w:widowControl w:val="0"/>
              <w:kinsoku/>
              <w:wordWrap/>
              <w:overflowPunct/>
              <w:topLinePunct w:val="0"/>
              <w:autoSpaceDE/>
              <w:autoSpaceDN/>
              <w:bidi w:val="0"/>
              <w:adjustRightInd/>
              <w:snapToGrid/>
              <w:spacing w:before="0" w:line="30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总</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计</w:t>
            </w:r>
          </w:p>
        </w:tc>
        <w:tc>
          <w:tcPr>
            <w:tcW w:w="2827" w:type="dxa"/>
            <w:gridSpan w:val="5"/>
            <w:tcBorders>
              <w:top w:val="single" w:color="auto" w:sz="4" w:space="0"/>
              <w:left w:val="single" w:color="auto" w:sz="4" w:space="0"/>
            </w:tcBorders>
            <w:shd w:val="clear" w:color="auto" w:fill="auto"/>
            <w:vAlign w:val="top"/>
          </w:tcPr>
          <w:p>
            <w:pPr>
              <w:pStyle w:val="9"/>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auto"/>
            <w:vAlign w:val="top"/>
          </w:tcPr>
          <w:p>
            <w:pPr>
              <w:pStyle w:val="9"/>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624" w:hRule="exact"/>
          <w:jc w:val="center"/>
        </w:trPr>
        <w:tc>
          <w:tcPr>
            <w:tcW w:w="629"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9"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562" w:type="dxa"/>
            <w:vMerge w:val="continue"/>
            <w:tcBorders>
              <w:left w:val="single" w:color="auto" w:sz="4" w:space="0"/>
            </w:tcBorders>
            <w:shd w:val="clear" w:color="auto" w:fill="auto"/>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562" w:type="dxa"/>
            <w:tcBorders>
              <w:top w:val="single" w:color="auto" w:sz="4" w:space="0"/>
              <w:left w:val="single" w:color="auto"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auto"/>
            <w:textDirection w:val="tbRlV"/>
            <w:vAlign w:val="center"/>
          </w:tcPr>
          <w:p>
            <w:pPr>
              <w:pStyle w:val="10"/>
              <w:keepNext w:val="0"/>
              <w:keepLines w:val="0"/>
              <w:pageBreakBefore w:val="0"/>
              <w:widowControl w:val="0"/>
              <w:kinsoku/>
              <w:wordWrap/>
              <w:overflowPunct/>
              <w:topLinePunct w:val="0"/>
              <w:autoSpaceDE/>
              <w:autoSpaceDN/>
              <w:bidi w:val="0"/>
              <w:adjustRightInd/>
              <w:snapToGrid/>
              <w:spacing w:before="0" w:line="30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总</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计</w:t>
            </w:r>
          </w:p>
        </w:tc>
        <w:tc>
          <w:tcPr>
            <w:tcW w:w="562" w:type="dxa"/>
            <w:tcBorders>
              <w:top w:val="single" w:color="auto" w:sz="4" w:space="0"/>
              <w:left w:val="single" w:color="auto"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auto"/>
            <w:textDirection w:val="tbRlV"/>
            <w:vAlign w:val="center"/>
          </w:tcPr>
          <w:p>
            <w:pPr>
              <w:pStyle w:val="10"/>
              <w:keepNext w:val="0"/>
              <w:keepLines w:val="0"/>
              <w:pageBreakBefore w:val="0"/>
              <w:widowControl w:val="0"/>
              <w:kinsoku/>
              <w:wordWrap/>
              <w:overflowPunct/>
              <w:topLinePunct w:val="0"/>
              <w:autoSpaceDE/>
              <w:autoSpaceDN/>
              <w:bidi w:val="0"/>
              <w:adjustRightInd/>
              <w:snapToGrid/>
              <w:spacing w:before="0" w:line="30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总</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计</w:t>
            </w:r>
          </w:p>
        </w:tc>
      </w:tr>
      <w:tr>
        <w:tblPrEx>
          <w:tblLayout w:type="fixed"/>
          <w:tblCellMar>
            <w:top w:w="0" w:type="dxa"/>
            <w:left w:w="10" w:type="dxa"/>
            <w:bottom w:w="0" w:type="dxa"/>
            <w:right w:w="10" w:type="dxa"/>
          </w:tblCellMar>
        </w:tblPrEx>
        <w:trPr>
          <w:trHeight w:val="567" w:hRule="exact"/>
          <w:jc w:val="center"/>
        </w:trPr>
        <w:tc>
          <w:tcPr>
            <w:tcW w:w="629"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r>
    </w:tbl>
    <w:p>
      <w:pPr>
        <w:keepNext w:val="0"/>
        <w:keepLines w:val="0"/>
        <w:pageBreakBefore w:val="0"/>
        <w:widowControl/>
        <w:shd w:val="clear" w:color="auto"/>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黑体" w:cs="Times New Roman"/>
          <w:b/>
          <w:bCs/>
          <w:color w:val="auto"/>
          <w:sz w:val="32"/>
          <w:szCs w:val="32"/>
          <w:lang w:val="en-US" w:eastAsia="zh-CN" w:bidi="ar-SA"/>
        </w:rPr>
      </w:pPr>
      <w:r>
        <w:rPr>
          <w:rFonts w:hint="default" w:ascii="Times New Roman" w:hAnsi="Times New Roman" w:eastAsia="黑体" w:cs="Times New Roman"/>
          <w:b/>
          <w:bCs/>
          <w:color w:val="auto"/>
          <w:sz w:val="32"/>
          <w:szCs w:val="32"/>
          <w:lang w:val="en-US" w:eastAsia="zh-CN" w:bidi="ar-SA"/>
        </w:rPr>
        <w:t>五、</w:t>
      </w:r>
      <w:r>
        <w:rPr>
          <w:rFonts w:hint="default" w:ascii="Times New Roman" w:hAnsi="Times New Roman" w:eastAsia="黑体" w:cs="Times New Roman"/>
          <w:b/>
          <w:bCs/>
          <w:color w:val="auto"/>
          <w:sz w:val="32"/>
          <w:szCs w:val="32"/>
          <w:lang w:eastAsia="zh-CN" w:bidi="ar-SA"/>
        </w:rPr>
        <w:t>存在的主要问题及改进情况</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（一）2022年存在问题整改情况</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bidi="ar-SA"/>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针对 2022 年查摆的专业</w:t>
      </w: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化程度不足</w:t>
      </w:r>
      <w:r>
        <w:rPr>
          <w:rFonts w:hint="eastAsia" w:eastAsia="仿宋_GB2312" w:cs="Times New Roman"/>
          <w:color w:val="000000" w:themeColor="text1"/>
          <w:sz w:val="32"/>
          <w:szCs w:val="32"/>
          <w:lang w:val="en-US" w:eastAsia="zh-CN" w:bidi="ar-SA"/>
          <w14:textFill>
            <w14:solidFill>
              <w14:schemeClr w14:val="tx1"/>
            </w14:solidFill>
          </w14:textFill>
        </w:rPr>
        <w:t>情况</w:t>
      </w: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w:t>
      </w:r>
      <w:r>
        <w:rPr>
          <w:rFonts w:hint="eastAsia" w:eastAsia="仿宋_GB2312" w:cs="Times New Roman"/>
          <w:color w:val="000000" w:themeColor="text1"/>
          <w:sz w:val="32"/>
          <w:szCs w:val="32"/>
          <w:lang w:val="en-US" w:eastAsia="zh-CN" w:bidi="ar-SA"/>
          <w14:textFill>
            <w14:solidFill>
              <w14:schemeClr w14:val="tx1"/>
            </w14:solidFill>
          </w14:textFill>
        </w:rPr>
        <w:t>加强</w:t>
      </w: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对政府信息公开业务人员的培训力度，积极参加</w:t>
      </w:r>
      <w:r>
        <w:rPr>
          <w:rFonts w:hint="eastAsia" w:eastAsia="仿宋_GB2312" w:cs="Times New Roman"/>
          <w:color w:val="000000" w:themeColor="text1"/>
          <w:sz w:val="32"/>
          <w:szCs w:val="32"/>
          <w:lang w:val="en-US" w:eastAsia="zh-CN" w:bidi="ar-SA"/>
          <w14:textFill>
            <w14:solidFill>
              <w14:schemeClr w14:val="tx1"/>
            </w14:solidFill>
          </w14:textFill>
        </w:rPr>
        <w:t>上级组织的</w:t>
      </w: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培训</w:t>
      </w:r>
      <w:r>
        <w:rPr>
          <w:rFonts w:hint="eastAsia" w:eastAsia="仿宋_GB2312" w:cs="Times New Roman"/>
          <w:color w:val="000000" w:themeColor="text1"/>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不断</w:t>
      </w: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提升工作人员专业化水平</w:t>
      </w:r>
      <w:r>
        <w:rPr>
          <w:rFonts w:ascii="微软雅黑" w:hAnsi="微软雅黑" w:eastAsia="微软雅黑" w:cs="微软雅黑"/>
          <w:i w:val="0"/>
          <w:iCs w:val="0"/>
          <w:caps w:val="0"/>
          <w:color w:val="000000"/>
          <w:spacing w:val="0"/>
          <w:sz w:val="28"/>
          <w:szCs w:val="28"/>
          <w:shd w:val="clear" w:fill="FFFFFF"/>
        </w:rPr>
        <w:t>。</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（二）2023年存在问题</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bidi="ar-SA"/>
        </w:rPr>
      </w:pP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信息公开形式还存在制约</w:t>
      </w:r>
      <w:r>
        <w:rPr>
          <w:rFonts w:hint="eastAsia" w:eastAsia="仿宋_GB2312" w:cs="Times New Roman"/>
          <w:color w:val="000000" w:themeColor="text1"/>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多以文字的形式体现，方式比较单一。</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eastAsia="zh-CN" w:bidi="ar-SA"/>
        </w:rPr>
      </w:pPr>
      <w:r>
        <w:rPr>
          <w:rFonts w:hint="eastAsia" w:ascii="楷体_GB2312" w:hAnsi="楷体_GB2312" w:eastAsia="楷体_GB2312" w:cs="楷体_GB2312"/>
          <w:b/>
          <w:bCs/>
          <w:color w:val="auto"/>
          <w:sz w:val="32"/>
          <w:szCs w:val="32"/>
          <w:lang w:val="en-US" w:eastAsia="zh-CN" w:bidi="ar-SA"/>
        </w:rPr>
        <w:t>（三）改进措施</w:t>
      </w:r>
      <w:r>
        <w:rPr>
          <w:rFonts w:hint="default" w:ascii="Times New Roman" w:hAnsi="Times New Roman" w:eastAsia="仿宋_GB2312" w:cs="Times New Roman"/>
          <w:b/>
          <w:bCs/>
          <w:color w:val="auto"/>
          <w:sz w:val="32"/>
          <w:szCs w:val="32"/>
          <w:lang w:eastAsia="zh-CN" w:bidi="ar-SA"/>
        </w:rPr>
        <w:t>　</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lang w:eastAsia="zh-CN" w:bidi="ar-SA"/>
        </w:rPr>
      </w:pP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积极搭建新媒体政务公开平台，利用好公示栏、新闻媒体、LED显示屏等多渠道、多形式进行公开，确保群众信息畅通。</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30"/>
        <w:textAlignment w:val="auto"/>
        <w:rPr>
          <w:rFonts w:hint="default" w:ascii="Times New Roman" w:hAnsi="Times New Roman" w:eastAsia="黑体" w:cs="Times New Roman"/>
          <w:b/>
          <w:bCs/>
          <w:color w:val="auto"/>
          <w:sz w:val="32"/>
          <w:szCs w:val="32"/>
          <w:lang w:eastAsia="zh-CN" w:bidi="zh-TW"/>
        </w:rPr>
      </w:pPr>
      <w:r>
        <w:rPr>
          <w:rFonts w:hint="default" w:ascii="Times New Roman" w:hAnsi="Times New Roman" w:eastAsia="黑体" w:cs="Times New Roman"/>
          <w:b/>
          <w:bCs/>
          <w:color w:val="auto"/>
          <w:sz w:val="32"/>
          <w:szCs w:val="32"/>
          <w:lang w:val="en-US" w:eastAsia="zh-CN" w:bidi="zh-TW"/>
        </w:rPr>
        <w:t>六、</w:t>
      </w:r>
      <w:r>
        <w:rPr>
          <w:rFonts w:hint="default" w:ascii="Times New Roman" w:hAnsi="Times New Roman" w:eastAsia="黑体" w:cs="Times New Roman"/>
          <w:b/>
          <w:bCs/>
          <w:color w:val="auto"/>
          <w:sz w:val="32"/>
          <w:szCs w:val="32"/>
          <w:lang w:eastAsia="zh-CN" w:bidi="zh-TW"/>
        </w:rPr>
        <w:t>其他需要报告的事项</w:t>
      </w:r>
    </w:p>
    <w:p>
      <w:pPr>
        <w:pStyle w:val="4"/>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3"/>
        <w:rPr>
          <w:rFonts w:hint="eastAsia" w:ascii="楷体_GB2312" w:hAnsi="楷体_GB2312" w:eastAsia="楷体_GB2312" w:cs="楷体_GB2312"/>
          <w:b w:val="0"/>
          <w:bCs w:val="0"/>
          <w:color w:val="auto"/>
          <w:sz w:val="32"/>
          <w:szCs w:val="32"/>
          <w:shd w:val="clear" w:color="auto" w:fill="FFFFFF"/>
          <w:lang w:eastAsia="zh-CN"/>
        </w:rPr>
      </w:pPr>
      <w:r>
        <w:rPr>
          <w:rFonts w:hint="eastAsia" w:ascii="楷体_GB2312" w:hAnsi="楷体_GB2312" w:eastAsia="楷体_GB2312" w:cs="楷体_GB2312"/>
          <w:b w:val="0"/>
          <w:bCs w:val="0"/>
          <w:color w:val="auto"/>
          <w:sz w:val="32"/>
          <w:szCs w:val="32"/>
          <w:shd w:val="clear" w:color="auto" w:fill="FFFFFF"/>
          <w:lang w:val="en-US" w:eastAsia="zh-CN"/>
        </w:rPr>
        <w:t>（一）收取信息处理费的情况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kern w:val="0"/>
          <w:sz w:val="32"/>
          <w:szCs w:val="32"/>
          <w:lang w:val="en-US" w:eastAsia="zh-CN" w:bidi="en-US"/>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本年度依申请公开政府信息未收取任何费用。</w:t>
      </w: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（二）落实上级年度政务公开工作要点情况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市中区税郭镇人民政府能及时按照上级政务公开工作要点要求落实各项工作。</w:t>
      </w: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（三）人大代表建议和政协委员提案办理情况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2023年，市中区税郭镇人民政府共承办区级人大代表建议</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5件</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，办复率 100%；承办区政协委员提案30件，办复率100%。</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color w:val="auto"/>
          <w:sz w:val="32"/>
          <w:szCs w:val="32"/>
          <w:shd w:val="clear" w:color="auto" w:fill="FFFFFF"/>
          <w:lang w:val="en-US" w:eastAsia="zh-CN"/>
        </w:rPr>
      </w:pPr>
      <w:r>
        <w:rPr>
          <w:rFonts w:hint="eastAsia" w:ascii="楷体_GB2312" w:hAnsi="楷体_GB2312" w:eastAsia="楷体_GB2312" w:cs="楷体_GB2312"/>
          <w:b/>
          <w:bCs/>
          <w:color w:val="auto"/>
          <w:sz w:val="32"/>
          <w:szCs w:val="32"/>
          <w:shd w:val="clear" w:color="auto" w:fill="FFFFFF"/>
          <w:lang w:val="en-US" w:eastAsia="zh-CN"/>
        </w:rPr>
        <w:t>（四）本行政机关年度政务公开工作创新情况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color w:val="0000FF"/>
          <w:kern w:val="0"/>
          <w:sz w:val="32"/>
          <w:szCs w:val="32"/>
          <w:lang w:val="en-US" w:eastAsia="zh-CN" w:bidi="ar-SA"/>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为进一步强化政务公开标准化建设，增强群众对政府工作的知晓度和参与率，税郭镇强化举措，创新探索“周报快车”新模式，通过一周一报的形式，及时向群众公开政府工作动态，助推政务公开工作走深入实。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市中区税郭镇人民政府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center"/>
        <w:textAlignment w:val="auto"/>
        <w:rPr>
          <w:rFonts w:hint="default" w:ascii="Times New Roman" w:hAnsi="Times New Roman" w:cs="Times New Roman" w:eastAsiaTheme="minorEastAsia"/>
          <w:color w:val="auto"/>
          <w:lang w:eastAsia="zh-CN"/>
        </w:rPr>
      </w:pPr>
      <w:r>
        <w:rPr>
          <w:rFonts w:hint="default" w:ascii="Times New Roman" w:hAnsi="Times New Roman" w:eastAsia="仿宋_GB2312" w:cs="Times New Roman"/>
          <w:color w:val="auto"/>
          <w:sz w:val="32"/>
          <w:szCs w:val="32"/>
          <w:shd w:val="clear" w:color="auto" w:fill="FFFFFF"/>
          <w:lang w:val="en-US" w:eastAsia="zh-CN"/>
        </w:rPr>
        <w:t xml:space="preserve">                             2024年1月</w:t>
      </w:r>
      <w:r>
        <w:rPr>
          <w:rFonts w:hint="eastAsia" w:ascii="Times New Roman" w:hAnsi="Times New Roman" w:eastAsia="仿宋_GB2312" w:cs="Times New Roman"/>
          <w:color w:val="auto"/>
          <w:sz w:val="32"/>
          <w:szCs w:val="32"/>
          <w:shd w:val="clear" w:color="auto" w:fill="FFFFFF"/>
          <w:lang w:val="en-US" w:eastAsia="zh-CN"/>
        </w:rPr>
        <w:t>1</w:t>
      </w:r>
      <w:r>
        <w:rPr>
          <w:rFonts w:hint="eastAsia" w:eastAsia="仿宋_GB2312" w:cs="Times New Roman"/>
          <w:color w:val="auto"/>
          <w:sz w:val="32"/>
          <w:szCs w:val="32"/>
          <w:shd w:val="clear" w:color="auto" w:fill="FFFFFF"/>
          <w:lang w:val="en-US" w:eastAsia="zh-CN"/>
        </w:rPr>
        <w:t>6</w:t>
      </w:r>
      <w:bookmarkStart w:id="0" w:name="_GoBack"/>
      <w:bookmarkEnd w:id="0"/>
      <w:r>
        <w:rPr>
          <w:rFonts w:hint="default" w:ascii="Times New Roman" w:hAnsi="Times New Roman" w:eastAsia="仿宋_GB2312" w:cs="Times New Roman"/>
          <w:color w:val="auto"/>
          <w:sz w:val="32"/>
          <w:szCs w:val="32"/>
          <w:shd w:val="clear" w:color="auto" w:fill="FFFFFF"/>
          <w:lang w:val="en-US" w:eastAsia="zh-CN"/>
        </w:rPr>
        <w:t>日</w:t>
      </w:r>
    </w:p>
    <w:p>
      <w:pPr>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665699"/>
    <w:multiLevelType w:val="singleLevel"/>
    <w:tmpl w:val="B2665699"/>
    <w:lvl w:ilvl="0" w:tentative="0">
      <w:start w:val="4"/>
      <w:numFmt w:val="chineseCounting"/>
      <w:suff w:val="nothing"/>
      <w:lvlText w:val="（%1）"/>
      <w:lvlJc w:val="left"/>
      <w:rPr>
        <w:rFonts w:hint="eastAsia"/>
      </w:rPr>
    </w:lvl>
  </w:abstractNum>
  <w:abstractNum w:abstractNumId="1">
    <w:nsid w:val="2044A6D4"/>
    <w:multiLevelType w:val="singleLevel"/>
    <w:tmpl w:val="2044A6D4"/>
    <w:lvl w:ilvl="0" w:tentative="0">
      <w:start w:val="2"/>
      <w:numFmt w:val="chineseCounting"/>
      <w:suff w:val="nothing"/>
      <w:lvlText w:val="%1、"/>
      <w:lvlJc w:val="left"/>
      <w:rPr>
        <w:rFonts w:hint="eastAsia"/>
      </w:rPr>
    </w:lvl>
  </w:abstractNum>
  <w:abstractNum w:abstractNumId="2">
    <w:nsid w:val="3FC513AC"/>
    <w:multiLevelType w:val="singleLevel"/>
    <w:tmpl w:val="3FC513A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N2I2Mzc4NmU5YWZjOGQ4YTBhZDVjZmFmNThjZmYifQ=="/>
  </w:docVars>
  <w:rsids>
    <w:rsidRoot w:val="098B1B94"/>
    <w:rsid w:val="098B1B94"/>
    <w:rsid w:val="212A101D"/>
    <w:rsid w:val="22845122"/>
    <w:rsid w:val="23482B18"/>
    <w:rsid w:val="376414DD"/>
    <w:rsid w:val="38A57888"/>
    <w:rsid w:val="3F360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pPr>
    <w:rPr>
      <w:rFonts w:ascii="宋体" w:hAnsi="宋体" w:cs="宋体"/>
    </w:rPr>
  </w:style>
  <w:style w:type="character" w:styleId="7">
    <w:name w:val="Hyperlink"/>
    <w:basedOn w:val="6"/>
    <w:semiHidden/>
    <w:unhideWhenUsed/>
    <w:qFormat/>
    <w:uiPriority w:val="99"/>
    <w:rPr>
      <w:color w:val="0000FF"/>
      <w:u w:val="single"/>
    </w:rPr>
  </w:style>
  <w:style w:type="paragraph" w:customStyle="1" w:styleId="8">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9">
    <w:name w:val="Other|1"/>
    <w:basedOn w:val="1"/>
    <w:qFormat/>
    <w:uiPriority w:val="0"/>
    <w:pPr>
      <w:spacing w:line="442" w:lineRule="auto"/>
      <w:ind w:firstLine="400"/>
    </w:pPr>
    <w:rPr>
      <w:rFonts w:ascii="宋体" w:hAnsi="宋体" w:eastAsia="宋体" w:cs="宋体"/>
      <w:sz w:val="28"/>
      <w:szCs w:val="28"/>
      <w:lang w:val="zh-TW" w:eastAsia="zh-TW" w:bidi="zh-TW"/>
    </w:rPr>
  </w:style>
  <w:style w:type="paragraph" w:customStyle="1" w:styleId="10">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1">
    <w:name w:val="Header or footer|1"/>
    <w:basedOn w:val="1"/>
    <w:qFormat/>
    <w:uiPriority w:val="0"/>
    <w:rPr>
      <w:sz w:val="26"/>
      <w:szCs w:val="26"/>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2024-01-09T03:10:00Z</dcterms:created>
  <dc:creator>嘿~</dc:creator>
  <cp:lastModifiedBy>lirong</cp:lastModifiedBy>
  <dcterms:modified xsi:type="dcterms:W3CDTF">2024-01-18T01:08:40Z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361016672D3A4C04ABBB2615D9A732C1_13</vt:lpwstr>
  </property>
</Properties>
</file>