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eastAsia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/>
          <w:color w:val="auto"/>
          <w:sz w:val="44"/>
          <w:szCs w:val="44"/>
          <w:lang w:val="en-US" w:eastAsia="zh-CN"/>
        </w:rPr>
        <w:t>市中区退役军人事务局</w:t>
      </w: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b/>
          <w:bCs/>
          <w:color w:val="auto"/>
          <w:sz w:val="44"/>
          <w:szCs w:val="44"/>
          <w:lang w:eastAsia="zh-CN"/>
        </w:rPr>
        <w:t>年政府信息公开工作年度报告</w:t>
      </w:r>
    </w:p>
    <w:p>
      <w:pPr>
        <w:ind w:firstLine="640" w:firstLineChars="200"/>
        <w:rPr>
          <w:rFonts w:eastAsia="黑体"/>
          <w:color w:val="auto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</w:pPr>
      <w:bookmarkStart w:id="9" w:name="_GoBack"/>
      <w:r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本年度报告根据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eastAsia="zh-CN"/>
        </w:rPr>
        <w:t>《中华人民共和国政府信息公开条例》和《国务院办公厅政府信息与政务公开办公室关于印发&lt;中华人民共和国政府信息公开工作年度报告格式&gt;的通知》相关要求编制并向社会公开。本年度报告电子版可从市中区人民政府门户网站（http://www.zzszq.gov.cn/）查阅或下载。本报告所列数据的统计时限自2023年1月1日起至2023年12月31日止。</w:t>
      </w:r>
      <w:r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如对本报告有疑问，可与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市中区退役军人事务局</w:t>
      </w:r>
      <w:r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联系（地址: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枣庄市市中区垎塔埠街道兴华路4号</w:t>
      </w:r>
      <w:r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，邮编：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277100</w:t>
      </w:r>
      <w:r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，电话：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0632-3318087</w:t>
      </w:r>
      <w:r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电子邮箱：</w:t>
      </w:r>
      <w:r>
        <w:rPr>
          <w:rFonts w:hint="eastAsia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tyjr2019@zz.shandong.cn</w:t>
      </w:r>
      <w:r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）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Ansi="黑体" w:eastAsia="黑体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eastAsia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Ansi="黑体" w:eastAsia="黑体"/>
          <w:b/>
          <w:bCs/>
          <w:color w:val="auto"/>
          <w:sz w:val="32"/>
          <w:szCs w:val="32"/>
          <w:shd w:val="clear" w:color="auto" w:fill="FFFFFF"/>
          <w:lang w:eastAsia="zh-CN"/>
        </w:rPr>
        <w:t>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2023年，市中区退役军人事务局认真贯彻落实《中华人民共和国政府信息公开条例》，着力健全完善信息公开工作体系，强化信息公开载体建设，结合我局工作实际，进一步健全组织机构，完善信息公开机制，强化各项工作措施，在扩大公众知情权、满足公众信息需求方面取得了积极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主动公开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en-US"/>
        </w:rPr>
      </w:pPr>
      <w:r>
        <w:rPr>
          <w:rFonts w:hint="eastAsia" w:hAnsi="黑体" w:eastAsia="黑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en-US"/>
        </w:rPr>
        <w:t>2023年，我局主动公开信息126条，其中在区政府门户网站公开119条，政务新媒体公开70条，其他渠道公开22条。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依申请公开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en-US"/>
        </w:rPr>
        <w:t>2023年区退役军人事务局未收到政府信息公开申请，无收费和减免事项，无因信息公开申请而被提起行政复议和行政诉讼情况。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Ansi="黑体" w:eastAsia="黑体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政府信息管理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退役军人事务局高度重视政府信息公开工作，形成局主要领导亲自抓、分管领导具体抓，局办公室抓负责的工作体系，将信息公开工作纳入年度中心工作总体部署，规范政府信息公开工作任务、具体要求和责任部门，压紧压实工作责任，保障政府信息公开工作全面、规范，严格落实政府信息三审三校制度，促进政务公开工作有序开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bCs/>
          <w:color w:val="auto"/>
          <w:sz w:val="32"/>
          <w:szCs w:val="32"/>
          <w:lang w:eastAsia="zh-CN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>（四）政府信息公开</w:t>
      </w:r>
      <w:r>
        <w:rPr>
          <w:rFonts w:eastAsia="黑体"/>
          <w:bCs/>
          <w:color w:val="auto"/>
          <w:sz w:val="32"/>
          <w:szCs w:val="32"/>
          <w:lang w:eastAsia="zh-CN"/>
        </w:rPr>
        <w:t>平台建设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eastAsia="仿宋_GB2312"/>
          <w:color w:val="auto"/>
          <w:sz w:val="32"/>
          <w:szCs w:val="32"/>
          <w:lang w:eastAsia="zh-CN" w:bidi="ar-SA"/>
        </w:rPr>
      </w:pPr>
      <w:r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依托“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枣庄市市中区人民政府</w:t>
      </w:r>
      <w:r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网站”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政府信息公开专栏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eastAsia="zh-CN"/>
        </w:rPr>
        <w:t>”、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政务新媒体“枣庄市退役军人事务局微信公众号”等</w:t>
      </w:r>
      <w:r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平台发布信息，涉及退役军人慰问、双拥共建、就业创业、优抚褒扬等领域，广泛宣传退役军人解难纾困、双拥创建等工作，营造社会良好氛围。</w:t>
      </w:r>
      <w:r>
        <w:rPr>
          <w:rFonts w:eastAsia="仿宋_GB2312"/>
          <w:color w:val="auto"/>
          <w:sz w:val="32"/>
          <w:szCs w:val="32"/>
          <w:lang w:eastAsia="zh-CN" w:bidi="ar-SA"/>
        </w:rPr>
        <w:t>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hAnsi="黑体" w:eastAsia="黑体"/>
          <w:color w:val="auto"/>
          <w:sz w:val="32"/>
          <w:szCs w:val="32"/>
          <w:lang w:eastAsia="zh-CN" w:bidi="ar-SA"/>
        </w:rPr>
      </w:pPr>
      <w:r>
        <w:rPr>
          <w:rFonts w:hint="eastAsia" w:hAnsi="黑体" w:eastAsia="黑体"/>
          <w:color w:val="auto"/>
          <w:sz w:val="32"/>
          <w:szCs w:val="32"/>
          <w:lang w:val="en-US" w:eastAsia="zh-CN" w:bidi="ar-SA"/>
        </w:rPr>
        <w:t>（五）</w:t>
      </w:r>
      <w:r>
        <w:rPr>
          <w:rFonts w:hAnsi="黑体" w:eastAsia="黑体"/>
          <w:color w:val="auto"/>
          <w:sz w:val="32"/>
          <w:szCs w:val="32"/>
          <w:lang w:eastAsia="zh-CN" w:bidi="ar-SA"/>
        </w:rPr>
        <w:t>监督保障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zh-TW"/>
        </w:rPr>
        <w:t>根据政府信息公开工作要求，不断完善信息公开制度，适时调整政务公开工作领导小组，明确政务公开办理机构和人员。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textAlignment w:val="auto"/>
        <w:rPr>
          <w:rFonts w:ascii="Times New Roman" w:hAnsi="黑体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黑体" w:eastAsia="黑体" w:cs="Times New Roman"/>
          <w:bCs/>
          <w:color w:val="auto"/>
          <w:sz w:val="32"/>
          <w:szCs w:val="32"/>
          <w:lang w:val="en-US" w:eastAsia="zh-CN"/>
        </w:rPr>
        <w:t>二、</w:t>
      </w:r>
      <w:r>
        <w:rPr>
          <w:rFonts w:ascii="Times New Roman" w:hAnsi="黑体" w:eastAsia="黑体" w:cs="Times New Roman"/>
          <w:bCs/>
          <w:color w:val="auto"/>
          <w:sz w:val="32"/>
          <w:szCs w:val="32"/>
        </w:rPr>
        <w:t>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Layout w:type="fixed"/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收到和处理政府信息公开申请情况</w:t>
      </w:r>
    </w:p>
    <w:tbl>
      <w:tblPr>
        <w:tblStyle w:val="4"/>
        <w:tblW w:w="991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楷体_GB2312" w:hAnsi="黑体" w:eastAsia="楷体_GB2312" w:cs="Times New Roman"/>
                <w:kern w:val="0"/>
                <w:sz w:val="21"/>
                <w:szCs w:val="21"/>
                <w:lang w:eastAsia="zh-CN" w:bidi="ar-SA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楷体_GB2312" w:hAnsi="黑体" w:eastAsia="楷体_GB2312" w:cs="Times New Roman"/>
                <w:kern w:val="0"/>
                <w:sz w:val="21"/>
                <w:szCs w:val="21"/>
                <w:lang w:eastAsia="zh-CN" w:bidi="ar-SA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21" w:leftChars="-51" w:right="-122" w:rightChars="-51" w:hanging="1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22" w:leftChars="-51" w:right="-122" w:rightChars="-51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22" w:leftChars="-51" w:right="-122" w:rightChars="-51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21" w:leftChars="-51" w:right="-122" w:rightChars="-51" w:hanging="1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72" w:leftChars="-30" w:right="-154" w:rightChars="-64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一、</w:t>
            </w:r>
            <w:bookmarkStart w:id="0" w:name="_Hlk66973412"/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22" w:leftChars="-51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22" w:leftChars="-51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22" w:leftChars="-51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22" w:leftChars="-51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22" w:leftChars="-51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jc w:val="both"/>
              <w:rPr>
                <w:rFonts w:ascii="仿宋_GB2312" w:hAnsi="黑体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楷体" w:eastAsia="仿宋_GB2312" w:cs="Times New Roman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eastAsia" w:ascii="仿宋_GB2312" w:hAnsi="楷体" w:eastAsia="仿宋_GB2312" w:cs="Times New Roman"/>
                <w:kern w:val="2"/>
                <w:sz w:val="21"/>
                <w:szCs w:val="22"/>
                <w:lang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楷体" w:eastAsia="仿宋_GB2312" w:cs="Times New Roman"/>
                <w:kern w:val="2"/>
                <w:sz w:val="21"/>
                <w:szCs w:val="22"/>
                <w:lang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黑体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楷体" w:eastAsia="仿宋_GB2312" w:cs="Times New Roman"/>
                <w:kern w:val="2"/>
                <w:sz w:val="21"/>
                <w:szCs w:val="22"/>
                <w:lang w:eastAsia="zh-CN" w:bidi="ar-SA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 w:bidi="ar-SA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四、</w:t>
      </w: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政府信息公开行政复议、行政诉讼情况</w:t>
      </w:r>
    </w:p>
    <w:tbl>
      <w:tblPr>
        <w:tblStyle w:val="4"/>
        <w:tblW w:w="873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9"/>
        <w:gridCol w:w="629"/>
        <w:gridCol w:w="624"/>
        <w:gridCol w:w="624"/>
        <w:gridCol w:w="562"/>
        <w:gridCol w:w="562"/>
        <w:gridCol w:w="571"/>
        <w:gridCol w:w="562"/>
        <w:gridCol w:w="566"/>
        <w:gridCol w:w="566"/>
        <w:gridCol w:w="562"/>
        <w:gridCol w:w="571"/>
        <w:gridCol w:w="562"/>
        <w:gridCol w:w="566"/>
        <w:gridCol w:w="58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306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56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</w:rPr>
            </w:pPr>
          </w:p>
        </w:tc>
        <w:tc>
          <w:tcPr>
            <w:tcW w:w="6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eastAsia="黑体"/>
          <w:color w:val="auto"/>
          <w:sz w:val="32"/>
          <w:szCs w:val="32"/>
          <w:lang w:eastAsia="zh-CN" w:bidi="ar-SA"/>
        </w:rPr>
      </w:pPr>
      <w:r>
        <w:rPr>
          <w:rFonts w:hint="eastAsia" w:eastAsia="黑体"/>
          <w:b/>
          <w:bCs/>
          <w:color w:val="auto"/>
          <w:sz w:val="32"/>
          <w:szCs w:val="32"/>
          <w:lang w:val="en-US" w:eastAsia="zh-CN" w:bidi="ar-SA"/>
        </w:rPr>
        <w:t>五、</w:t>
      </w:r>
      <w:r>
        <w:rPr>
          <w:rFonts w:eastAsia="黑体"/>
          <w:b/>
          <w:bCs/>
          <w:color w:val="auto"/>
          <w:sz w:val="32"/>
          <w:szCs w:val="32"/>
          <w:lang w:eastAsia="zh-CN" w:bidi="ar-SA"/>
        </w:rPr>
        <w:t>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（一）2023年存在问题整改情况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明确专人负责政务公开工作，及时公开各类信息。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（二）2023年存在问题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一是政务公开栏目建设仍不够完善，综合服务水平有待提高;二是政务信息公开的宣传和培训有待于进一步加强，需进一提升工作人员信息公开的意识和水平。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（三）改进措施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 w:bidi="ar-SA"/>
        </w:rPr>
        <w:t>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en-US"/>
        </w:rPr>
        <w:t>一是进一步优化政府信息公开目录。二是坚持“以公开为常态，不公开为例外”，进一步推进退役军人相关政策、制度等内容的公开、宣传和解读。三是认真学习《中华人民共和国政府信息公开条例》等政策法规和业务知识，强化信息公开意识，及时准确公开政府信息，不断提升政府信息公开工作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eastAsia="黑体"/>
          <w:b/>
          <w:bCs/>
          <w:color w:val="auto"/>
          <w:sz w:val="32"/>
          <w:szCs w:val="32"/>
          <w:lang w:eastAsia="zh-CN" w:bidi="zh-TW"/>
        </w:rPr>
      </w:pPr>
      <w:r>
        <w:rPr>
          <w:rFonts w:hint="eastAsia" w:eastAsia="黑体"/>
          <w:b/>
          <w:bCs/>
          <w:color w:val="auto"/>
          <w:sz w:val="32"/>
          <w:szCs w:val="32"/>
          <w:lang w:val="en-US" w:eastAsia="zh-CN" w:bidi="zh-TW"/>
        </w:rPr>
        <w:t>六、</w:t>
      </w:r>
      <w:r>
        <w:rPr>
          <w:rFonts w:eastAsia="黑体"/>
          <w:b/>
          <w:bCs/>
          <w:color w:val="auto"/>
          <w:sz w:val="32"/>
          <w:szCs w:val="32"/>
          <w:lang w:eastAsia="zh-CN" w:bidi="zh-TW"/>
        </w:rPr>
        <w:t>其他需要报告的事项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outlineLvl w:val="3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（一）收取信息处理费的情况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本年度依申请公开政府信息未收取任何费用。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（二）落实上级年度政务公开工作要点情况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一是提升工作站位，抓好责任落实。局领导班子高度重视政务公开工作，将其列入年度计划摆上重要议事日程，明确政府信息公开原则和标准，界定职责分工。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二是明确公开流程，依法依规落实政务公开制度。严格按照政府信息公开工作规程，编制信息公开目录、信息公开指南。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三是健全工作机制，抓实过程管理。建立动态调整机制，并根据实际情况定期调整和更新，确保公开信息准确。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（三）人大代表建议和政协委员提案办理情况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2023年，市中区退役军人事务局未承办区级人大代表建议和区政协委员提案。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（四）本行政机关年度政务公开工作创新情况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市中区退役军人事务局结合“线上招聘会”和“退役军人军岗日专场招聘会”活动，扶持退役军人创业，大力推动政务公开工作。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right"/>
        <w:textAlignment w:val="auto"/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right"/>
        <w:textAlignment w:val="auto"/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right"/>
        <w:textAlignment w:val="auto"/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right"/>
        <w:textAlignment w:val="auto"/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right"/>
        <w:textAlignment w:val="auto"/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市中区退役军人事务局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right"/>
        <w:textAlignment w:val="auto"/>
        <w:rPr>
          <w:rFonts w:hint="default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2023年1月16日</w:t>
      </w:r>
    </w:p>
    <w:bookmarkEnd w:id="9"/>
    <w:p>
      <w:pPr>
        <w:rPr>
          <w:rFonts w:hint="eastAsia" w:eastAsiaTheme="minorEastAsia"/>
          <w:color w:val="auto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iKaBI8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8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69"/>
    <w:rsid w:val="00081823"/>
    <w:rsid w:val="00112B69"/>
    <w:rsid w:val="005373BA"/>
    <w:rsid w:val="005A70FF"/>
    <w:rsid w:val="00B03096"/>
    <w:rsid w:val="00F0539A"/>
    <w:rsid w:val="021D046B"/>
    <w:rsid w:val="025E0CC2"/>
    <w:rsid w:val="04694218"/>
    <w:rsid w:val="063B6749"/>
    <w:rsid w:val="072010BD"/>
    <w:rsid w:val="0A3E1141"/>
    <w:rsid w:val="0B8F2AB2"/>
    <w:rsid w:val="0D426B65"/>
    <w:rsid w:val="0DB7343A"/>
    <w:rsid w:val="101A475B"/>
    <w:rsid w:val="12E23B53"/>
    <w:rsid w:val="15C75E4B"/>
    <w:rsid w:val="1AAF71B2"/>
    <w:rsid w:val="1C90546D"/>
    <w:rsid w:val="1D276D79"/>
    <w:rsid w:val="1DC53412"/>
    <w:rsid w:val="1FD24907"/>
    <w:rsid w:val="2007106B"/>
    <w:rsid w:val="227F4F5F"/>
    <w:rsid w:val="22876812"/>
    <w:rsid w:val="24B65C7B"/>
    <w:rsid w:val="25A4022A"/>
    <w:rsid w:val="260B0C63"/>
    <w:rsid w:val="271F6DB2"/>
    <w:rsid w:val="28BE4FD8"/>
    <w:rsid w:val="2A366FA5"/>
    <w:rsid w:val="2A6E4A40"/>
    <w:rsid w:val="2B247393"/>
    <w:rsid w:val="2B7E7F7A"/>
    <w:rsid w:val="34C27E73"/>
    <w:rsid w:val="372B44B7"/>
    <w:rsid w:val="37DD4F2A"/>
    <w:rsid w:val="3958538C"/>
    <w:rsid w:val="3CA63654"/>
    <w:rsid w:val="3F201A83"/>
    <w:rsid w:val="424E6C95"/>
    <w:rsid w:val="42962A0C"/>
    <w:rsid w:val="43677CBB"/>
    <w:rsid w:val="4A263FB9"/>
    <w:rsid w:val="4BE16E0F"/>
    <w:rsid w:val="5A891C07"/>
    <w:rsid w:val="5AE6494C"/>
    <w:rsid w:val="5EA95810"/>
    <w:rsid w:val="62A02DE5"/>
    <w:rsid w:val="62DF0CAC"/>
    <w:rsid w:val="64490C92"/>
    <w:rsid w:val="6DB74B0F"/>
    <w:rsid w:val="6EC52406"/>
    <w:rsid w:val="71742F46"/>
    <w:rsid w:val="72BB477E"/>
    <w:rsid w:val="743334DA"/>
    <w:rsid w:val="754C48A1"/>
    <w:rsid w:val="7D726BF8"/>
    <w:rsid w:val="7EF667A6"/>
    <w:rsid w:val="7F2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Header or footer|1"/>
    <w:basedOn w:val="1"/>
    <w:qFormat/>
    <w:uiPriority w:val="0"/>
    <w:rPr>
      <w:sz w:val="26"/>
      <w:szCs w:val="26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1131</Words>
  <Characters>6452</Characters>
  <Lines>53</Lines>
  <Paragraphs>15</Paragraphs>
  <TotalTime>14</TotalTime>
  <ScaleCrop>false</ScaleCrop>
  <LinksUpToDate>false</LinksUpToDate>
  <CharactersWithSpaces>7568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2021-11-02T01:59:00Z</dcterms:created>
  <dc:creator>p</dc:creator>
  <cp:lastModifiedBy>lirong</cp:lastModifiedBy>
  <cp:lastPrinted>2024-01-12T03:43:00Z</cp:lastPrinted>
  <dcterms:modified xsi:type="dcterms:W3CDTF">2024-01-17T09:01:30Z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07F61BA80E9047E8B542FE53300C4931</vt:lpwstr>
  </property>
</Properties>
</file>