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市中区民政局</w:t>
      </w:r>
    </w:p>
    <w:p>
      <w:pPr>
        <w:jc w:val="cente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202</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年政府信息公开工作年度报告</w:t>
      </w:r>
    </w:p>
    <w:p>
      <w:pPr>
        <w:ind w:firstLine="640" w:firstLineChars="200"/>
        <w:rPr>
          <w:rFonts w:hint="default" w:ascii="Times New Roman" w:hAnsi="Times New Roman" w:eastAsia="黑体" w:cs="Times New Roman"/>
          <w:b w:val="0"/>
          <w:bCs w:val="0"/>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本年度报告根据《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如对本报告有疑问，可与</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市中区民政局</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联系（地址:</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枣庄市市中区胜利中路16号</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，邮编：</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277100</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，电话：：</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0632-3319059</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t>电子邮箱：</w:t>
      </w:r>
      <w:r>
        <w:rPr>
          <w:rFonts w:hint="default" w:ascii="Times New Roman" w:hAnsi="Times New Roman" w:eastAsia="微软雅黑" w:cs="Times New Roman"/>
          <w:b w:val="0"/>
          <w:bCs w:val="0"/>
          <w:i w:val="0"/>
          <w:iCs w:val="0"/>
          <w:caps w:val="0"/>
          <w:color w:val="000000" w:themeColor="text1"/>
          <w:spacing w:val="0"/>
          <w:sz w:val="27"/>
          <w:szCs w:val="27"/>
          <w:shd w:val="clear" w:fill="FFFFFF"/>
          <w14:textFill>
            <w14:solidFill>
              <w14:schemeClr w14:val="tx1"/>
            </w14:solidFill>
          </w14:textFill>
        </w:rPr>
        <w:t>zzsszqmzjadmin@zz.shandong.cn</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黑体" w:cs="Times New Roman"/>
          <w:b/>
          <w:bCs/>
          <w:color w:val="000000" w:themeColor="text1"/>
          <w:sz w:val="32"/>
          <w:szCs w:val="32"/>
          <w:shd w:val="clear" w:color="auto" w:fill="FFFFFF"/>
          <w:lang w:val="en-US" w:eastAsia="zh-CN"/>
          <w14:textFill>
            <w14:solidFill>
              <w14:schemeClr w14:val="tx1"/>
            </w14:solidFill>
          </w14:textFill>
        </w:rPr>
        <w:t>一、</w:t>
      </w:r>
      <w:r>
        <w:rPr>
          <w:rFonts w:hint="default" w:ascii="Times New Roman" w:hAnsi="Times New Roman" w:eastAsia="黑体" w:cs="Times New Roman"/>
          <w:b/>
          <w:bCs/>
          <w:color w:val="000000" w:themeColor="text1"/>
          <w:sz w:val="32"/>
          <w:szCs w:val="32"/>
          <w:shd w:val="clear" w:color="auto" w:fill="FFFFFF"/>
          <w:lang w:eastAsia="zh-CN"/>
          <w14:textFill>
            <w14:solidFill>
              <w14:schemeClr w14:val="tx1"/>
            </w14:solidFill>
          </w14:textFill>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2023年，民政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主动公开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2023年，我局主动公开信息710条，其中在区政府门户网站公开266条，政务新媒体公开444条。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default" w:ascii="Times New Roman" w:hAnsi="Times New Roman" w:eastAsia="仿宋" w:cs="Times New Roman"/>
          <w:b w:val="0"/>
          <w:bCs w:val="0"/>
          <w:i w:val="0"/>
          <w:iCs w:val="0"/>
          <w:caps w:val="0"/>
          <w:color w:val="000000" w:themeColor="text1"/>
          <w:spacing w:val="0"/>
          <w:sz w:val="32"/>
          <w:szCs w:val="32"/>
          <w:shd w:val="clear" w:fill="FFFFFF"/>
          <w14:textFill>
            <w14:solidFill>
              <w14:schemeClr w14:val="tx1"/>
            </w14:solidFill>
          </w14:textFill>
        </w:rPr>
        <w:t>及时公开机构概况。根据《政府信息公开条例》第二十条第（二）款要求，在机构改革完成后，第一时间更新机关职能、机构设置、办公地址、办公时间、联系方式、负责人姓名，并在区政府信息公开专栏公</w:t>
      </w:r>
      <w:r>
        <w:rPr>
          <w:rFonts w:hint="default" w:ascii="Times New Roman" w:hAnsi="Times New Roman" w:eastAsia="仿宋" w:cs="Times New Roman"/>
          <w:b w:val="0"/>
          <w:bCs w:val="0"/>
          <w:i w:val="0"/>
          <w:iCs w:val="0"/>
          <w:caps w:val="0"/>
          <w:color w:val="000000" w:themeColor="text1"/>
          <w:spacing w:val="0"/>
          <w:sz w:val="32"/>
          <w:szCs w:val="32"/>
          <w:shd w:val="clear" w:fill="FFFFFF"/>
          <w:lang w:eastAsia="zh-CN"/>
          <w14:textFill>
            <w14:solidFill>
              <w14:schemeClr w14:val="tx1"/>
            </w14:solidFill>
          </w14:textFill>
        </w:rPr>
        <w:t>布（http://www.zzszq.gov.cn/zw/jgzn/qzbm/qmzj/jbxx/）。</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drawing>
          <wp:inline distT="0" distB="0" distL="114300" distR="114300">
            <wp:extent cx="5604510" cy="2640330"/>
            <wp:effectExtent l="0" t="0" r="15240" b="762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604510" cy="264033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 w:cs="Times New Roman"/>
          <w:b w:val="0"/>
          <w:bCs w:val="0"/>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仿宋" w:cs="Times New Roman"/>
          <w:b w:val="0"/>
          <w:bCs w:val="0"/>
          <w:i w:val="0"/>
          <w:iCs w:val="0"/>
          <w:caps w:val="0"/>
          <w:color w:val="000000" w:themeColor="text1"/>
          <w:spacing w:val="0"/>
          <w:sz w:val="32"/>
          <w:szCs w:val="32"/>
          <w:shd w:val="clear" w:fill="FFFFFF"/>
          <w14:textFill>
            <w14:solidFill>
              <w14:schemeClr w14:val="tx1"/>
            </w14:solidFill>
          </w14:textFill>
        </w:rPr>
        <w:t>不断完善民生领域信息公开内容。根据《政府信息公开条例》第二十条第（七）款要求，结合业务工作实际，按月公开城乡低保、城乡特困、临时救助、残疾人两项补贴、儿童福利类、经济困难老人生活补贴、经济困难老人护理补贴等资金发放情况，便于公众了解</w:t>
      </w:r>
      <w:r>
        <w:rPr>
          <w:rFonts w:hint="default" w:ascii="Times New Roman" w:hAnsi="Times New Roman" w:eastAsia="仿宋"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 w:cs="Times New Roman"/>
          <w:b w:val="0"/>
          <w:bCs w:val="0"/>
          <w:i w:val="0"/>
          <w:iCs w:val="0"/>
          <w:caps w:val="0"/>
          <w:color w:val="000000" w:themeColor="text1"/>
          <w:spacing w:val="0"/>
          <w:sz w:val="32"/>
          <w:szCs w:val="32"/>
          <w:shd w:val="clear" w:fill="FFFFFF"/>
          <w14:textFill>
            <w14:solidFill>
              <w14:schemeClr w14:val="tx1"/>
            </w14:solidFill>
          </w14:textFill>
        </w:rPr>
        <w:t>同时，不断扩大公开范围、细化公开内容，让公众及时掌握民政信息</w:t>
      </w:r>
      <w:r>
        <w:rPr>
          <w:rFonts w:hint="default" w:ascii="Times New Roman" w:hAnsi="Times New Roman" w:eastAsia="仿宋" w:cs="Times New Roman"/>
          <w:b w:val="0"/>
          <w:bCs w:val="0"/>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drawing>
          <wp:inline distT="0" distB="0" distL="114300" distR="114300">
            <wp:extent cx="4925060" cy="3258185"/>
            <wp:effectExtent l="0" t="0" r="8890" b="1841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4925060" cy="325818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做好依申请公开工作，依法保障民众的知情权、参与权、表达权、监督权。202</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年共受理政府信息公开申请</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15</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件，</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涉及基层政权，社会救助领域。</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其中予以公开申请</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15</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件，部分公开</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件，不予公开</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件，无法提供</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件，不予处理</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本年度依申请公开政府信息未收取任何费用。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因政府信息公开被申请行政复议</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件，因公民、法人和其他组织认为行政机关政府信息公开工作具体行政行为侵犯其合法权益，提起行政诉讼</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政府信息管理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完善政府信息全生命周期管理相关制度，结合工作职能，对各业务科室信息公开内容及时效性提出要求，安排专人依照公开计划督促业务科室进行信息公开。同时严格落实政务信息公开保密审查制度，信息公开前经科室负责人、分管领导、主持机关领导三层把关，确保政务信息公开无泄密情况。继续按照《国务院办公厅关于全面推行行政规范性文件合法性审核机制的指导意见》（国办发〔2018〕115 号）等文件要求，加强对规范性文件的管理。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政府信息公开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依托“</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枣庄市市中区人民政府</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网站”“</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政府信息公开专栏</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政务新媒体</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枣庄市中民政</w:t>
      </w:r>
      <w:r>
        <w:rPr>
          <w:rFonts w:hint="default" w:ascii="Times New Roman" w:hAnsi="Times New Roman" w:eastAsia="仿宋_GB2312" w:cs="Times New Roman"/>
          <w:b w:val="0"/>
          <w:bCs w:val="0"/>
          <w:color w:val="000000" w:themeColor="text1"/>
          <w:sz w:val="32"/>
          <w:szCs w:val="32"/>
          <w:shd w:val="clear" w:color="auto" w:fill="FFFFFF"/>
          <w:lang w:eastAsia="zh-CN"/>
          <w14:textFill>
            <w14:solidFill>
              <w14:schemeClr w14:val="tx1"/>
            </w14:solidFill>
          </w14:textFill>
        </w:rPr>
        <w:t>”等平台发布信息，推动政务公开信息向不同群体精准推送，提升群众获取政府信息的便利度和幸福感。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b/>
          <w:bCs/>
          <w:color w:val="000000" w:themeColor="text1"/>
          <w:sz w:val="32"/>
          <w:szCs w:val="32"/>
          <w:lang w:eastAsia="zh-CN" w:bidi="ar-SA"/>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bidi="ar-SA"/>
          <w14:textFill>
            <w14:solidFill>
              <w14:schemeClr w14:val="tx1"/>
            </w14:solidFill>
          </w14:textFill>
        </w:rPr>
        <w:t>（五）</w:t>
      </w:r>
      <w:r>
        <w:rPr>
          <w:rFonts w:hint="eastAsia" w:ascii="楷体_GB2312" w:hAnsi="楷体_GB2312" w:eastAsia="楷体_GB2312" w:cs="楷体_GB2312"/>
          <w:b/>
          <w:bCs/>
          <w:color w:val="000000" w:themeColor="text1"/>
          <w:sz w:val="32"/>
          <w:szCs w:val="32"/>
          <w:lang w:eastAsia="zh-CN" w:bidi="ar-SA"/>
          <w14:textFill>
            <w14:solidFill>
              <w14:schemeClr w14:val="tx1"/>
            </w14:solidFill>
          </w14:textFill>
        </w:rPr>
        <w:t>监督保障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仿宋_GB2312" w:cs="Times New Roman"/>
          <w:b w:val="0"/>
          <w:bCs w:val="0"/>
          <w:color w:val="000000" w:themeColor="text1"/>
          <w:kern w:val="0"/>
          <w:sz w:val="32"/>
          <w:szCs w:val="32"/>
          <w:shd w:val="clear" w:color="auto" w:fill="FFFFFF"/>
          <w:lang w:val="en-US" w:eastAsia="zh-CN" w:bidi="en-US"/>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shd w:val="clear" w:color="auto" w:fill="FFFFFF"/>
          <w:lang w:val="en-US" w:eastAsia="zh-CN" w:bidi="en-US"/>
          <w14:textFill>
            <w14:solidFill>
              <w14:schemeClr w14:val="tx1"/>
            </w14:solidFill>
          </w14:textFill>
        </w:rPr>
        <w:t>市中区民政局高度重视政府信息公开工作，把这项工作列入重要议事日程，于2023年8月15日对政务公开工作领导小组进行调整，明确了分管领导以及专职人员负责政务公开工作，统筹组织协调全局政务信息公开工作，做到了组织领导到位，机构人员落实到位，工作措施到位</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bidi="en-US"/>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shd w:val="clear" w:color="auto" w:fill="FFFFFF"/>
          <w:lang w:val="en-US" w:eastAsia="zh-CN" w:bidi="en-US"/>
          <w14:textFill>
            <w14:solidFill>
              <w14:schemeClr w14:val="tx1"/>
            </w14:solidFill>
          </w14:textFill>
        </w:rPr>
        <w:t>积极参加组织的政府信息公开工作会议和业务培训，对各科室政府信息公开进行培训，切实提高对政府信息公开工作的认识水平和工作能力</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bidi="en-US"/>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shd w:val="clear" w:color="auto" w:fill="FFFFFF"/>
          <w:lang w:val="en-US" w:eastAsia="zh-CN" w:bidi="en-US"/>
          <w14:textFill>
            <w14:solidFill>
              <w14:schemeClr w14:val="tx1"/>
            </w14:solidFill>
          </w14:textFill>
        </w:rPr>
        <w:t>确保了各项政务公开工作的顺利开展。</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b/>
          <w:bCs/>
          <w:color w:val="000000" w:themeColor="text1"/>
          <w:sz w:val="32"/>
          <w:szCs w:val="32"/>
          <w14:textFill>
            <w14:solidFill>
              <w14:schemeClr w14:val="tx1"/>
            </w14:solidFill>
          </w14:textFill>
        </w:rPr>
        <w:t>主动公开政府信息情况</w:t>
      </w:r>
    </w:p>
    <w:tbl>
      <w:tblPr>
        <w:tblStyle w:val="4"/>
        <w:tblpPr w:leftFromText="180" w:rightFromText="180" w:vertAnchor="text" w:horzAnchor="page" w:tblpX="1651" w:tblpY="744"/>
        <w:tblOverlap w:val="never"/>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b w:val="0"/>
                <w:bCs w:val="0"/>
                <w:color w:val="000000" w:themeColor="text1"/>
                <w:kern w:val="0"/>
                <w:szCs w:val="21"/>
                <w14:textFill>
                  <w14:solidFill>
                    <w14:schemeClr w14:val="tx1"/>
                  </w14:solidFill>
                </w14:textFill>
              </w:rPr>
            </w:pPr>
            <w:r>
              <w:rPr>
                <w:rFonts w:hint="default" w:ascii="Times New Roman" w:hAnsi="Times New Roman" w:eastAsia="黑体" w:cs="Times New Roman"/>
                <w:b w:val="0"/>
                <w:bCs w:val="0"/>
                <w:color w:val="000000" w:themeColor="text1"/>
                <w:kern w:val="0"/>
                <w:szCs w:val="21"/>
                <w14:textFill>
                  <w14:solidFill>
                    <w14:schemeClr w14:val="tx1"/>
                  </w14:solidFill>
                </w14:textFill>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b w:val="0"/>
                <w:bCs w:val="0"/>
                <w:color w:val="000000" w:themeColor="text1"/>
                <w:kern w:val="0"/>
                <w:szCs w:val="21"/>
                <w14:textFill>
                  <w14:solidFill>
                    <w14:schemeClr w14:val="tx1"/>
                  </w14:solidFill>
                </w14:textFill>
              </w:rPr>
            </w:pPr>
            <w:r>
              <w:rPr>
                <w:rFonts w:hint="default" w:ascii="Times New Roman" w:hAnsi="Times New Roman" w:eastAsia="黑体" w:cs="Times New Roman"/>
                <w:b w:val="0"/>
                <w:bCs w:val="0"/>
                <w:color w:val="000000" w:themeColor="text1"/>
                <w:kern w:val="0"/>
                <w:szCs w:val="21"/>
                <w14:textFill>
                  <w14:solidFill>
                    <w14:schemeClr w14:val="tx1"/>
                  </w14:solidFill>
                </w14:textFill>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b w:val="0"/>
                <w:bCs w:val="0"/>
                <w:color w:val="000000" w:themeColor="text1"/>
                <w:kern w:val="0"/>
                <w:szCs w:val="21"/>
                <w14:textFill>
                  <w14:solidFill>
                    <w14:schemeClr w14:val="tx1"/>
                  </w14:solidFill>
                </w14:textFill>
              </w:rPr>
            </w:pPr>
            <w:r>
              <w:rPr>
                <w:rFonts w:hint="default" w:ascii="Times New Roman" w:hAnsi="Times New Roman" w:eastAsia="黑体" w:cs="Times New Roman"/>
                <w:b w:val="0"/>
                <w:bCs w:val="0"/>
                <w:color w:val="000000" w:themeColor="text1"/>
                <w:kern w:val="0"/>
                <w:szCs w:val="21"/>
                <w14:textFill>
                  <w14:solidFill>
                    <w14:schemeClr w14:val="tx1"/>
                  </w14:solidFill>
                </w14:textFill>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b w:val="0"/>
                <w:bCs w:val="0"/>
                <w:color w:val="000000" w:themeColor="text1"/>
                <w:kern w:val="0"/>
                <w:szCs w:val="21"/>
                <w14:textFill>
                  <w14:solidFill>
                    <w14:schemeClr w14:val="tx1"/>
                  </w14:solidFill>
                </w14:textFill>
              </w:rPr>
            </w:pPr>
            <w:r>
              <w:rPr>
                <w:rFonts w:hint="default" w:ascii="Times New Roman" w:hAnsi="Times New Roman" w:eastAsia="黑体" w:cs="Times New Roman"/>
                <w:b w:val="0"/>
                <w:bCs w:val="0"/>
                <w:color w:val="000000" w:themeColor="text1"/>
                <w:kern w:val="0"/>
                <w:szCs w:val="21"/>
                <w14:textFill>
                  <w14:solidFill>
                    <w14:schemeClr w14:val="tx1"/>
                  </w14:solidFill>
                </w14:textFill>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t>0</w:t>
            </w:r>
          </w:p>
        </w:tc>
      </w:tr>
    </w:tbl>
    <w:p>
      <w:pPr>
        <w:pStyle w:val="9"/>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bCs/>
          <w:color w:val="000000" w:themeColor="text1"/>
          <w:sz w:val="32"/>
          <w:szCs w:val="32"/>
          <w14:textFill>
            <w14:solidFill>
              <w14:schemeClr w14:val="tx1"/>
            </w14:solidFill>
          </w14:textFill>
        </w:rPr>
      </w:pP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b/>
          <w:bCs/>
          <w:color w:val="000000" w:themeColor="text1"/>
          <w:sz w:val="32"/>
          <w:szCs w:val="32"/>
          <w14:textFill>
            <w14:solidFill>
              <w14:schemeClr w14:val="tx1"/>
            </w14:solidFill>
          </w14:textFill>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21"/>
                <w:szCs w:val="21"/>
                <w:lang w:eastAsia="zh-CN" w:bidi="ar-SA"/>
                <w14:textFill>
                  <w14:solidFill>
                    <w14:schemeClr w14:val="tx1"/>
                  </w14:solidFill>
                </w14:textFill>
              </w:rPr>
              <w:t>（本列数据的勾稽关系为：第一项加第二项之和，</w:t>
            </w:r>
          </w:p>
          <w:p>
            <w:pPr>
              <w:widowControl/>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21"/>
                <w:szCs w:val="21"/>
                <w:lang w:eastAsia="zh-CN" w:bidi="ar-SA"/>
                <w14:textFill>
                  <w14:solidFill>
                    <w14:schemeClr w14:val="tx1"/>
                  </w14:solidFill>
                </w14:textFill>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一、</w:t>
            </w:r>
            <w:bookmarkStart w:id="0" w:name="_Hlk66973412"/>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1</w:t>
            </w:r>
            <w:r>
              <w:rPr>
                <w:rFonts w:hint="eastAsia" w:eastAsia="仿宋_GB2312" w:cs="Times New Roman"/>
                <w:b w:val="0"/>
                <w:bCs w:val="0"/>
                <w:color w:val="000000" w:themeColor="text1"/>
                <w:kern w:val="2"/>
                <w:sz w:val="21"/>
                <w:szCs w:val="21"/>
                <w:lang w:val="en-US" w:eastAsia="zh-CN" w:bidi="ar-SA"/>
                <w14:textFill>
                  <w14:solidFill>
                    <w14:schemeClr w14:val="tx1"/>
                  </w14:solidFill>
                </w14:textFill>
              </w:rPr>
              <w:t>5</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1</w:t>
            </w:r>
            <w:r>
              <w:rPr>
                <w:rFonts w:hint="eastAsia" w:eastAsia="仿宋_GB2312" w:cs="Times New Roman"/>
                <w:b w:val="0"/>
                <w:bCs w:val="0"/>
                <w:color w:val="000000" w:themeColor="text1"/>
                <w:kern w:val="2"/>
                <w:sz w:val="21"/>
                <w:szCs w:val="21"/>
                <w:lang w:val="en-US" w:eastAsia="zh-CN" w:bidi="ar-SA"/>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三、本年度办理结果</w:t>
            </w:r>
          </w:p>
        </w:tc>
        <w:tc>
          <w:tcPr>
            <w:tcW w:w="4677" w:type="dxa"/>
            <w:gridSpan w:val="2"/>
            <w:shd w:val="clear" w:color="auto" w:fill="auto"/>
            <w:tcMar>
              <w:left w:w="108" w:type="dxa"/>
              <w:right w:w="108" w:type="dxa"/>
            </w:tcMar>
            <w:vAlign w:val="center"/>
          </w:tcPr>
          <w:p>
            <w:pPr>
              <w:widowControl/>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1</w:t>
            </w:r>
            <w:r>
              <w:rPr>
                <w:rFonts w:hint="eastAsia" w:eastAsia="仿宋_GB2312" w:cs="Times New Roman"/>
                <w:b w:val="0"/>
                <w:bCs w:val="0"/>
                <w:color w:val="000000" w:themeColor="text1"/>
                <w:kern w:val="2"/>
                <w:sz w:val="21"/>
                <w:szCs w:val="21"/>
                <w:lang w:val="en-US" w:eastAsia="zh-CN" w:bidi="ar-SA"/>
                <w14:textFill>
                  <w14:solidFill>
                    <w14:schemeClr w14:val="tx1"/>
                  </w14:solidFill>
                </w14:textFill>
              </w:rPr>
              <w:t>5</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1</w:t>
            </w:r>
            <w:r>
              <w:rPr>
                <w:rFonts w:hint="eastAsia" w:eastAsia="仿宋_GB2312" w:cs="Times New Roman"/>
                <w:b w:val="0"/>
                <w:bCs w:val="0"/>
                <w:color w:val="000000" w:themeColor="text1"/>
                <w:kern w:val="2"/>
                <w:sz w:val="21"/>
                <w:szCs w:val="21"/>
                <w:lang w:val="en-US" w:eastAsia="zh-CN" w:bidi="ar-SA"/>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4677" w:type="dxa"/>
            <w:gridSpan w:val="2"/>
            <w:shd w:val="clear" w:color="auto" w:fill="auto"/>
            <w:tcMar>
              <w:left w:w="108" w:type="dxa"/>
              <w:right w:w="108" w:type="dxa"/>
            </w:tcMar>
            <w:vAlign w:val="center"/>
          </w:tcPr>
          <w:p>
            <w:pPr>
              <w:widowControl/>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（二）部分公开（</w:t>
            </w:r>
            <w:bookmarkStart w:id="1" w:name="_Hlk66973981"/>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区分处理的，只计这一情形，不计其他情形</w:t>
            </w:r>
            <w:bookmarkEnd w:id="1"/>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（三）不予公开</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1.属于国家秘密</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2.</w:t>
            </w:r>
            <w:bookmarkStart w:id="2" w:name="_Hlk66974104"/>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3.危及“三安全一稳定”</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4.</w:t>
            </w:r>
            <w:bookmarkStart w:id="3" w:name="_Hlk66974290"/>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5.属于三类内部事务信息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6.</w:t>
            </w:r>
            <w:bookmarkStart w:id="4" w:name="_Hlk66974555"/>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7.属于行政执法案卷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8.</w:t>
            </w:r>
            <w:bookmarkStart w:id="5" w:name="_Hlk66975211"/>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（四）无法提供</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2.</w:t>
            </w:r>
            <w:bookmarkStart w:id="6" w:name="_Hlk66975392"/>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3.</w:t>
            </w:r>
            <w:bookmarkStart w:id="7" w:name="_Hlk66975466"/>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（五）不予处理</w:t>
            </w: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1.</w:t>
            </w:r>
            <w:bookmarkStart w:id="8" w:name="_Hlk66975537"/>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2.重复申请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3.要求提供公开出版物</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200" w:lineRule="exact"/>
              <w:jc w:val="both"/>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4.无正当理由大量反复申请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spacing w:line="200" w:lineRule="exact"/>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2976" w:type="dxa"/>
            <w:shd w:val="clear" w:color="auto" w:fill="auto"/>
            <w:tcMar>
              <w:left w:w="108" w:type="dxa"/>
              <w:right w:w="108" w:type="dxa"/>
            </w:tcMar>
            <w:vAlign w:val="center"/>
          </w:tcPr>
          <w:p>
            <w:pPr>
              <w:widowControl/>
              <w:spacing w:line="3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5.要求行政机关确认或重新</w:t>
            </w:r>
          </w:p>
          <w:p>
            <w:pPr>
              <w:widowControl/>
              <w:spacing w:line="300" w:lineRule="exact"/>
              <w:ind w:firstLine="210" w:firstLineChars="100"/>
              <w:jc w:val="both"/>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t>出具已获取信息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restart"/>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（六）其他处理</w:t>
            </w: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b w:val="0"/>
                <w:bCs w:val="0"/>
                <w:color w:val="000000" w:themeColor="text1"/>
                <w:kern w:val="2"/>
                <w:sz w:val="21"/>
                <w:szCs w:val="22"/>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2"/>
                <w:lang w:eastAsia="zh-CN" w:bidi="ar-SA"/>
                <w14:textFill>
                  <w14:solidFill>
                    <w14:schemeClr w14:val="tx1"/>
                  </w14:solidFill>
                </w14:textFill>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pP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2"/>
                <w:lang w:eastAsia="zh-CN" w:bidi="ar-SA"/>
                <w14:textFill>
                  <w14:solidFill>
                    <w14:schemeClr w14:val="tx1"/>
                  </w14:solidFill>
                </w14:textFill>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1701" w:type="dxa"/>
            <w:vMerge w:val="continue"/>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pPr>
          </w:p>
        </w:tc>
        <w:tc>
          <w:tcPr>
            <w:tcW w:w="2976" w:type="dxa"/>
            <w:shd w:val="clear" w:color="auto" w:fill="auto"/>
            <w:vAlign w:val="center"/>
          </w:tcPr>
          <w:p>
            <w:pPr>
              <w:widowControl/>
              <w:spacing w:line="300" w:lineRule="exact"/>
              <w:jc w:val="both"/>
              <w:rPr>
                <w:rFonts w:hint="default" w:ascii="Times New Roman" w:hAnsi="Times New Roman" w:eastAsia="仿宋_GB2312"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2"/>
                <w:lang w:eastAsia="zh-CN" w:bidi="ar-SA"/>
                <w14:textFill>
                  <w14:solidFill>
                    <w14:schemeClr w14:val="tx1"/>
                  </w14:solidFill>
                </w14:textFill>
              </w:rPr>
              <w:t>3.其他</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hint="default" w:ascii="Times New Roman" w:hAnsi="Times New Roman" w:eastAsia="黑体" w:cs="Times New Roman"/>
                <w:b w:val="0"/>
                <w:bCs w:val="0"/>
                <w:color w:val="000000" w:themeColor="text1"/>
                <w:kern w:val="2"/>
                <w:sz w:val="21"/>
                <w:szCs w:val="21"/>
                <w:lang w:eastAsia="zh-CN" w:bidi="ar-SA"/>
                <w14:textFill>
                  <w14:solidFill>
                    <w14:schemeClr w14:val="tx1"/>
                  </w14:solidFill>
                </w14:textFill>
              </w:rPr>
            </w:pPr>
          </w:p>
        </w:tc>
        <w:tc>
          <w:tcPr>
            <w:tcW w:w="4677" w:type="dxa"/>
            <w:gridSpan w:val="2"/>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1</w:t>
            </w:r>
            <w:r>
              <w:rPr>
                <w:rFonts w:hint="eastAsia" w:eastAsia="仿宋_GB2312" w:cs="Times New Roman"/>
                <w:b w:val="0"/>
                <w:bCs w:val="0"/>
                <w:color w:val="000000" w:themeColor="text1"/>
                <w:kern w:val="2"/>
                <w:sz w:val="21"/>
                <w:szCs w:val="21"/>
                <w:lang w:val="en-US" w:eastAsia="zh-CN" w:bidi="ar-SA"/>
                <w14:textFill>
                  <w14:solidFill>
                    <w14:schemeClr w14:val="tx1"/>
                  </w14:solidFill>
                </w14:textFill>
              </w:rPr>
              <w:t>5</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1</w:t>
            </w:r>
            <w:r>
              <w:rPr>
                <w:rFonts w:hint="eastAsia" w:eastAsia="仿宋_GB2312" w:cs="Times New Roman"/>
                <w:b w:val="0"/>
                <w:bCs w:val="0"/>
                <w:color w:val="000000" w:themeColor="text1"/>
                <w:kern w:val="2"/>
                <w:sz w:val="21"/>
                <w:szCs w:val="21"/>
                <w:lang w:val="en-US" w:eastAsia="zh-CN" w:bidi="ar-SA"/>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21"/>
                <w:szCs w:val="21"/>
                <w:lang w:eastAsia="zh-CN" w:bidi="ar-SA"/>
                <w14:textFill>
                  <w14:solidFill>
                    <w14:schemeClr w14:val="tx1"/>
                  </w14:solidFill>
                </w14:textFill>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b w:val="0"/>
                <w:bCs w:val="0"/>
                <w:color w:val="000000" w:themeColor="text1"/>
                <w:kern w:val="2"/>
                <w:sz w:val="21"/>
                <w:szCs w:val="21"/>
                <w:lang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1"/>
                <w:szCs w:val="21"/>
                <w:lang w:val="en-US" w:eastAsia="zh-CN" w:bidi="ar-SA"/>
                <w14:textFill>
                  <w14:solidFill>
                    <w14:schemeClr w14:val="tx1"/>
                  </w14:solidFill>
                </w14:textFill>
              </w:rPr>
              <w:t>0</w:t>
            </w:r>
          </w:p>
        </w:tc>
      </w:tr>
    </w:tbl>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b/>
          <w:bCs/>
          <w:color w:val="000000" w:themeColor="text1"/>
          <w:sz w:val="32"/>
          <w:szCs w:val="32"/>
          <w14:textFill>
            <w14:solidFill>
              <w14:schemeClr w14:val="tx1"/>
            </w14:solidFill>
          </w14:textFill>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000000" w:themeColor="text1"/>
                <w14:textFill>
                  <w14:solidFill>
                    <w14:schemeClr w14:val="tx1"/>
                  </w14:solidFill>
                </w14:textFill>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000000" w:themeColor="text1"/>
                <w14:textFill>
                  <w14:solidFill>
                    <w14:schemeClr w14:val="tx1"/>
                  </w14:solidFill>
                </w14:textFill>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color w:val="000000" w:themeColor="text1"/>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1</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1</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32"/>
                <w:szCs w:val="32"/>
                <w:lang w:val="en-US" w:eastAsia="zh-CN"/>
                <w14:textFill>
                  <w14:solidFill>
                    <w14:schemeClr w14:val="tx1"/>
                  </w14:solidFill>
                </w14:textFill>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
          <w:bCs/>
          <w:color w:val="000000" w:themeColor="text1"/>
          <w:sz w:val="32"/>
          <w:szCs w:val="32"/>
          <w:lang w:eastAsia="zh-CN" w:bidi="ar-SA"/>
          <w14:textFill>
            <w14:solidFill>
              <w14:schemeClr w14:val="tx1"/>
            </w14:solidFill>
          </w14:textFill>
        </w:rPr>
      </w:pPr>
      <w:r>
        <w:rPr>
          <w:rFonts w:hint="default" w:ascii="Times New Roman" w:hAnsi="Times New Roman" w:eastAsia="黑体" w:cs="Times New Roman"/>
          <w:b/>
          <w:bCs/>
          <w:color w:val="000000" w:themeColor="text1"/>
          <w:sz w:val="32"/>
          <w:szCs w:val="32"/>
          <w:lang w:val="en-US" w:eastAsia="zh-CN" w:bidi="ar-SA"/>
          <w14:textFill>
            <w14:solidFill>
              <w14:schemeClr w14:val="tx1"/>
            </w14:solidFill>
          </w14:textFill>
        </w:rPr>
        <w:t>五、</w:t>
      </w:r>
      <w:r>
        <w:rPr>
          <w:rFonts w:hint="default" w:ascii="Times New Roman" w:hAnsi="Times New Roman" w:eastAsia="黑体" w:cs="Times New Roman"/>
          <w:b/>
          <w:bCs/>
          <w:color w:val="000000" w:themeColor="text1"/>
          <w:sz w:val="32"/>
          <w:szCs w:val="32"/>
          <w:lang w:eastAsia="zh-CN" w:bidi="ar-SA"/>
          <w14:textFill>
            <w14:solidFill>
              <w14:schemeClr w14:val="tx1"/>
            </w14:solidFill>
          </w14:textFill>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val="0"/>
          <w:bCs w:val="0"/>
          <w:color w:val="000000" w:themeColor="text1"/>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t>（一）2022年存在问题整改情况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cs="Times New Roman"/>
          <w:b w:val="0"/>
          <w:bCs w:val="0"/>
          <w:i w:val="0"/>
          <w:iCs w:val="0"/>
          <w:caps w:val="0"/>
          <w:color w:val="000000" w:themeColor="text1"/>
          <w:spacing w:val="0"/>
          <w:sz w:val="24"/>
          <w:szCs w:val="24"/>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一是安排专人负责本单位政府信息公开工作，加大政府信息公开力度，对公众关切、社会关注、影响面大的工作进行重点公开，确保群众的知情权，确保政府信息公开工作的针对性和时效性。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bidi="ar-SA"/>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二是继续加大对政府信息公开工作人员的培训力度，定期召开培训会议，进一步明确应公开事项、公开时间、公开方式等；将政府信息公开纳入全局工作重点任务，紧抓落实情况。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t>（二）2023年存在问题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Times New Roman" w:hAnsi="Times New Roman" w:cs="Times New Roman"/>
          <w:b w:val="0"/>
          <w:bCs w:val="0"/>
          <w:i w:val="0"/>
          <w:iCs w:val="0"/>
          <w:caps w:val="0"/>
          <w:color w:val="000000" w:themeColor="text1"/>
          <w:spacing w:val="0"/>
          <w:sz w:val="24"/>
          <w:szCs w:val="24"/>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一是对信息公开的新要求学习不够深入。《政府信息公开条例》修订后，对政府信息公开工作提出了新要求。在这种情况下，对政府信息公开工作的培训没有完全跟上，局内部干部职工对其系统性认识不够深刻。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cs="Times New Roman"/>
          <w:b w:val="0"/>
          <w:bCs w:val="0"/>
          <w:i w:val="0"/>
          <w:iCs w:val="0"/>
          <w:caps w:val="0"/>
          <w:color w:val="000000" w:themeColor="text1"/>
          <w:spacing w:val="0"/>
          <w:sz w:val="24"/>
          <w:szCs w:val="24"/>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二是信息公开工作机制不够完善。全局的政府信息公开工作体系还需完善，公开渠道和形式需要进一步创新。负责信息公开专职人员的能力和水平需要进一步提升。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b w:val="0"/>
          <w:bCs w:val="0"/>
          <w:color w:val="000000" w:themeColor="text1"/>
          <w:sz w:val="32"/>
          <w:szCs w:val="32"/>
          <w:lang w:val="en-US" w:eastAsia="zh-CN" w:bidi="ar-SA"/>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三是信息公开力度需进一步加大。主动公开目录有待进一步细化，公开手段不够丰富，公开内容不够深化、细化，重点领域信息公开需要进一步强化。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ar-SA"/>
          <w14:textFill>
            <w14:solidFill>
              <w14:schemeClr w14:val="tx1"/>
            </w14:solidFill>
          </w14:textFill>
        </w:rPr>
        <w:t>（三）改进措施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b w:val="0"/>
          <w:bCs w:val="0"/>
          <w:i w:val="0"/>
          <w:iCs w:val="0"/>
          <w:caps w:val="0"/>
          <w:color w:val="000000" w:themeColor="text1"/>
          <w:spacing w:val="0"/>
          <w:sz w:val="24"/>
          <w:szCs w:val="24"/>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是强化信息公开队伍建设与培训。强化局政府信息公开工作人员队伍建设，配备政府信息公开工作专管员；强化政府信息公开工作培训，通过向区政府信息科学习、多与兄弟单位的专职人员交流学习，切实提高工作人员对政府信息公开工作的认识水平和工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cs="Times New Roman"/>
          <w:b w:val="0"/>
          <w:bCs w:val="0"/>
          <w:i w:val="0"/>
          <w:iCs w:val="0"/>
          <w:caps w:val="0"/>
          <w:color w:val="000000" w:themeColor="text1"/>
          <w:spacing w:val="0"/>
          <w:sz w:val="24"/>
          <w:szCs w:val="24"/>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二是不断健全政府信息公开工作机制。根据新修订的《政府信息公开条例》和上级工作安排，确保新要求得到有效落实；完善全局政府信息公开工作机制，进一步提高局政府信息公开工作规范化、制度化水平。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default" w:ascii="Times New Roman" w:hAnsi="Times New Roman" w:eastAsia="黑体" w:cs="Times New Roman"/>
          <w:b w:val="0"/>
          <w:bCs w:val="0"/>
          <w:color w:val="000000" w:themeColor="text1"/>
          <w:sz w:val="32"/>
          <w:szCs w:val="32"/>
          <w:lang w:val="en-US" w:eastAsia="zh-CN" w:bidi="zh-TW"/>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三是完善主动公开系统与目录。优化局政府信息公开工作后台系统，提高工作便利度；围绕中心、服务大局，细化政府信息公开工作目录，着力强化重点领域信息公开力度，突出做好政府工作报告、重大发展战略、重要民生举措、重要文件解读等领域信息公开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b/>
          <w:bCs/>
          <w:color w:val="000000" w:themeColor="text1"/>
          <w:sz w:val="32"/>
          <w:szCs w:val="32"/>
          <w:lang w:eastAsia="zh-CN" w:bidi="zh-TW"/>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bidi="zh-TW"/>
          <w14:textFill>
            <w14:solidFill>
              <w14:schemeClr w14:val="tx1"/>
            </w14:solidFill>
          </w14:textFill>
        </w:rPr>
        <w:t>六、</w:t>
      </w:r>
      <w:r>
        <w:rPr>
          <w:rFonts w:hint="eastAsia" w:ascii="楷体_GB2312" w:hAnsi="楷体_GB2312" w:eastAsia="楷体_GB2312" w:cs="楷体_GB2312"/>
          <w:b/>
          <w:bCs/>
          <w:color w:val="000000" w:themeColor="text1"/>
          <w:sz w:val="32"/>
          <w:szCs w:val="32"/>
          <w:lang w:eastAsia="zh-CN" w:bidi="zh-TW"/>
          <w14:textFill>
            <w14:solidFill>
              <w14:schemeClr w14:val="tx1"/>
            </w14:solidFill>
          </w14:textFill>
        </w:rPr>
        <w:t>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hint="eastAsia" w:ascii="楷体_GB2312" w:hAnsi="楷体_GB2312" w:eastAsia="楷体_GB2312" w:cs="楷体_GB2312"/>
          <w:b/>
          <w:bCs/>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t>（一）收取信息处理费的情况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本年度依申请公开政府信息未收取任何费用。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（二）落实上级年度政务公开工作要点情况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围绕重点领域信息公开、政策发布解读与回应、政民互动、基层</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政务</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公开标准化规范化建设和工作保障和落实逐项明确责任主体。</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2023年，区民政局共承办区人大代表建议3件，</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办复率100%</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；承办区政协提案</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件，</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办复率100%</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lang w:val="en-US" w:eastAsia="zh-CN"/>
          <w14:textFill>
            <w14:solidFill>
              <w14:schemeClr w14:val="tx1"/>
            </w14:solidFill>
          </w14:textFill>
        </w:rPr>
        <w:t>（四）本行政机关年度政务公开工作创新情况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积极通过“枣庄市中民政”微信公众号向群众推广政府信息工作，切实保障公众知情权。招录社区工作者，满足社区治理工作的需要，将政务公开与政务服务融合，不断提升我区社区服务水平。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市中区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民政局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2024年1月</w:t>
      </w:r>
      <w:r>
        <w:rPr>
          <w:rFonts w:hint="eastAsia" w:eastAsia="仿宋_GB2312" w:cs="Times New Roman"/>
          <w:b w:val="0"/>
          <w:bCs w:val="0"/>
          <w:color w:val="000000" w:themeColor="text1"/>
          <w:sz w:val="32"/>
          <w:szCs w:val="32"/>
          <w:shd w:val="clear" w:color="auto" w:fill="FFFFFF"/>
          <w:lang w:val="en-US" w:eastAsia="zh-CN"/>
          <w14:textFill>
            <w14:solidFill>
              <w14:schemeClr w14:val="tx1"/>
            </w14:solidFill>
          </w14:textFill>
        </w:rPr>
        <w:t>16</w:t>
      </w:r>
      <w:bookmarkStart w:id="9" w:name="_GoBack"/>
      <w:bookmarkEnd w:id="9"/>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日</w:t>
      </w:r>
    </w:p>
    <w:p>
      <w:pPr>
        <w:rPr>
          <w:rFonts w:hint="default" w:ascii="Times New Roman" w:hAnsi="Times New Roman" w:cs="Times New Roman" w:eastAsiaTheme="minorEastAsia"/>
          <w:b w:val="0"/>
          <w:bCs w:val="0"/>
          <w:color w:val="000000" w:themeColor="text1"/>
          <w:lang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52361"/>
    <w:multiLevelType w:val="singleLevel"/>
    <w:tmpl w:val="4E2523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YmQwMDhkZjhkODgxZjYzYTQzN2EwMWNlMmI1ZDEifQ=="/>
  </w:docVars>
  <w:rsids>
    <w:rsidRoot w:val="00112B69"/>
    <w:rsid w:val="00081823"/>
    <w:rsid w:val="00112B69"/>
    <w:rsid w:val="005A70FF"/>
    <w:rsid w:val="00B03096"/>
    <w:rsid w:val="00F0539A"/>
    <w:rsid w:val="021D046B"/>
    <w:rsid w:val="025E0CC2"/>
    <w:rsid w:val="05163FE3"/>
    <w:rsid w:val="0A3E1141"/>
    <w:rsid w:val="0B8F2AB2"/>
    <w:rsid w:val="0D426B65"/>
    <w:rsid w:val="0DB7343A"/>
    <w:rsid w:val="101A475B"/>
    <w:rsid w:val="1AAF71B2"/>
    <w:rsid w:val="1D276D79"/>
    <w:rsid w:val="1DC53412"/>
    <w:rsid w:val="1FD24907"/>
    <w:rsid w:val="2007106B"/>
    <w:rsid w:val="227F4F5F"/>
    <w:rsid w:val="24B65C7B"/>
    <w:rsid w:val="271F6DB2"/>
    <w:rsid w:val="289F315B"/>
    <w:rsid w:val="28BE4FD8"/>
    <w:rsid w:val="2A366FA5"/>
    <w:rsid w:val="2A6E4A40"/>
    <w:rsid w:val="2B247393"/>
    <w:rsid w:val="2B7E7F7A"/>
    <w:rsid w:val="2D94168D"/>
    <w:rsid w:val="34C27E73"/>
    <w:rsid w:val="35A95C27"/>
    <w:rsid w:val="372B44B7"/>
    <w:rsid w:val="37DD4F2A"/>
    <w:rsid w:val="3BFE67EF"/>
    <w:rsid w:val="3CA63654"/>
    <w:rsid w:val="424E6C95"/>
    <w:rsid w:val="42962A0C"/>
    <w:rsid w:val="43677CBB"/>
    <w:rsid w:val="454007DA"/>
    <w:rsid w:val="4A263FB9"/>
    <w:rsid w:val="4BE16E0F"/>
    <w:rsid w:val="5A891C07"/>
    <w:rsid w:val="5AE6494C"/>
    <w:rsid w:val="5EA95810"/>
    <w:rsid w:val="62A02DE5"/>
    <w:rsid w:val="62DF0CAC"/>
    <w:rsid w:val="64490C92"/>
    <w:rsid w:val="6EC52406"/>
    <w:rsid w:val="71742F46"/>
    <w:rsid w:val="72BB477E"/>
    <w:rsid w:val="73F01FF9"/>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4</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2024-01-16T02:01:00Z</cp:lastPrinted>
  <dcterms:modified xsi:type="dcterms:W3CDTF">2024-01-17T06:37:03Z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F78379C85E244BA2A6BC7E2DE72D2A05_12</vt:lpwstr>
  </property>
</Properties>
</file>