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市中区孟庄镇人民政府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b/>
          <w:bCs/>
          <w:color w:val="auto"/>
          <w:sz w:val="32"/>
          <w:szCs w:val="32"/>
          <w:shd w:val="clear" w:color="auto" w:fill="FFFFFF"/>
          <w:lang w:eastAsia="zh-CN"/>
        </w:rPr>
        <w:t>如对本报告有疑问，可与</w:t>
      </w:r>
      <w:r>
        <w:rPr>
          <w:rFonts w:hint="eastAsia" w:eastAsia="仿宋_GB2312"/>
          <w:b/>
          <w:bCs/>
          <w:color w:val="auto"/>
          <w:sz w:val="32"/>
          <w:szCs w:val="32"/>
          <w:shd w:val="clear" w:color="auto" w:fill="FFFFFF"/>
          <w:lang w:val="en-US" w:eastAsia="zh-CN"/>
        </w:rPr>
        <w:t>市中区孟庄镇人民政府</w:t>
      </w:r>
      <w:r>
        <w:rPr>
          <w:rFonts w:eastAsia="仿宋_GB2312"/>
          <w:b/>
          <w:bCs/>
          <w:color w:val="auto"/>
          <w:sz w:val="32"/>
          <w:szCs w:val="32"/>
          <w:shd w:val="clear" w:color="auto" w:fill="FFFFFF"/>
          <w:lang w:eastAsia="zh-CN"/>
        </w:rPr>
        <w:t>联系（</w:t>
      </w:r>
      <w:r>
        <w:rPr>
          <w:rFonts w:hint="default" w:ascii="Times New Roman" w:hAnsi="Times New Roman" w:eastAsia="仿宋_GB2312" w:cs="Times New Roman"/>
          <w:b/>
          <w:bCs/>
          <w:color w:val="auto"/>
          <w:sz w:val="32"/>
          <w:szCs w:val="32"/>
          <w:shd w:val="clear" w:color="auto" w:fill="FFFFFF"/>
          <w:lang w:eastAsia="zh-CN"/>
        </w:rPr>
        <w:t>地址:</w:t>
      </w:r>
      <w:r>
        <w:rPr>
          <w:rFonts w:hint="default" w:ascii="Times New Roman" w:hAnsi="Times New Roman" w:eastAsia="仿宋_GB2312" w:cs="Times New Roman"/>
          <w:b/>
          <w:bCs/>
          <w:color w:val="auto"/>
          <w:sz w:val="32"/>
          <w:szCs w:val="32"/>
          <w:shd w:val="clear" w:color="auto" w:fill="FFFFFF"/>
          <w:lang w:val="en-US" w:eastAsia="zh-CN"/>
        </w:rPr>
        <w:t>枣庄市市中区愚公路10号</w:t>
      </w:r>
      <w:r>
        <w:rPr>
          <w:rFonts w:hint="default" w:ascii="Times New Roman" w:hAnsi="Times New Roman" w:eastAsia="仿宋_GB2312" w:cs="Times New Roman"/>
          <w:b/>
          <w:bCs/>
          <w:color w:val="auto"/>
          <w:sz w:val="32"/>
          <w:szCs w:val="32"/>
          <w:shd w:val="clear" w:color="auto" w:fill="FFFFFF"/>
          <w:lang w:eastAsia="zh-CN"/>
        </w:rPr>
        <w:t>，邮编：</w:t>
      </w:r>
      <w:r>
        <w:rPr>
          <w:rFonts w:hint="default" w:ascii="Times New Roman" w:hAnsi="Times New Roman" w:eastAsia="仿宋_GB2312" w:cs="Times New Roman"/>
          <w:b/>
          <w:bCs/>
          <w:color w:val="auto"/>
          <w:sz w:val="32"/>
          <w:szCs w:val="32"/>
          <w:shd w:val="clear" w:color="auto" w:fill="FFFFFF"/>
          <w:lang w:val="en-US" w:eastAsia="zh-CN"/>
        </w:rPr>
        <w:t>277100</w:t>
      </w:r>
      <w:r>
        <w:rPr>
          <w:rFonts w:hint="default" w:ascii="Times New Roman" w:hAnsi="Times New Roman" w:eastAsia="仿宋_GB2312" w:cs="Times New Roman"/>
          <w:b/>
          <w:bCs/>
          <w:color w:val="auto"/>
          <w:sz w:val="32"/>
          <w:szCs w:val="32"/>
          <w:shd w:val="clear" w:color="auto" w:fill="FFFFFF"/>
          <w:lang w:eastAsia="zh-CN"/>
        </w:rPr>
        <w:t>，电话：</w:t>
      </w:r>
      <w:r>
        <w:rPr>
          <w:rFonts w:hint="default" w:ascii="Times New Roman" w:hAnsi="Times New Roman" w:eastAsia="仿宋_GB2312" w:cs="Times New Roman"/>
          <w:b/>
          <w:bCs/>
          <w:color w:val="auto"/>
          <w:sz w:val="32"/>
          <w:szCs w:val="32"/>
          <w:shd w:val="clear" w:color="auto" w:fill="FFFFFF"/>
          <w:lang w:val="en-US" w:eastAsia="zh-CN"/>
        </w:rPr>
        <w:t>0632-8023025</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电子邮箱：szqmzzadmin@zz.shandong.cn</w:t>
      </w:r>
      <w:r>
        <w:rPr>
          <w:rFonts w:eastAsia="仿宋_GB2312"/>
          <w:b/>
          <w:bCs/>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2023年，孟庄镇人民政府认真贯彻落实《中华人民共和国政府信息公开条例》，着力健全完善信息公开工作体系，强化信息公开载体建设，结合我镇工作实际，进一步健全组织机构，完善信息公开机制，强化各项工作措施，在扩大公众知情权、满足公众信息需求方面取得了积极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（一）主</w:t>
      </w:r>
      <w:bookmarkStart w:id="9" w:name="_GoBack"/>
      <w:bookmarkEnd w:id="9"/>
      <w:r>
        <w:rPr>
          <w:rFonts w:hint="eastAsia" w:ascii="楷体_GB2312" w:hAnsi="楷体_GB2312" w:eastAsia="楷体_GB2312" w:cs="楷体_GB2312"/>
          <w:b/>
          <w:bCs/>
          <w:color w:val="auto"/>
          <w:kern w:val="0"/>
          <w:sz w:val="32"/>
          <w:szCs w:val="32"/>
          <w:lang w:val="en-US" w:eastAsia="zh-CN" w:bidi="ar-SA"/>
        </w:rPr>
        <w:t>动公开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2023年，我镇主动公开信息890余条，其中在区政府门户网站公开41条，政务新媒体公开710余条，其他渠道公开140余条。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（二）依申请公开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2023年孟庄镇人民政府未收到政府信息公开申请，无收费和减免事项，无因信息公开申请而被提起行政复议和行政诉讼情况。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（三）政府信息管理</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认真贯彻落实政府信息公开工作文件的规章制度，动态更新政府信息主动公开目录，重视政府信息全生命周期公开管理工作，坚持实事求是、公开透明、“谁发布、谁负责”的原则及时做好政府信息公开保密审查工作，同时充分运用微信公众号和各村村务公开信息栏进行信息公开，接受社会和公众的监督，不断完善和提升政府信息公开工作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（四）政府信息公开平台建设</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黑体" w:eastAsia="黑体" w:cs="Times New Roman"/>
          <w:b/>
          <w:bCs w:val="0"/>
          <w:color w:val="auto"/>
          <w:sz w:val="32"/>
          <w:szCs w:val="32"/>
          <w:lang w:eastAsia="zh-CN"/>
        </w:rPr>
      </w:pPr>
      <w:r>
        <w:rPr>
          <w:rFonts w:hint="eastAsia" w:ascii="仿宋_GB2312" w:hAnsi="仿宋_GB2312" w:eastAsia="仿宋_GB2312" w:cs="仿宋_GB2312"/>
          <w:b/>
          <w:bCs w:val="0"/>
          <w:color w:val="auto"/>
          <w:sz w:val="32"/>
          <w:szCs w:val="32"/>
          <w:lang w:eastAsia="zh-CN"/>
        </w:rPr>
        <w:t>依托“枣庄市市中区人民政府网站”“政府信息公开专栏”政务新媒体“茶韵果香山水孟庄微信公众号”等平台发布信息，推动政务公开信息向不同群体精准推送，线下公开渠道重视便民服务中心和村务公开栏的建设，为群众提供需求的信息。提升群众获取政府信息的便利度和幸福感。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（五）监督保障</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我镇高度重视政府信息公开工作，认真贯彻落实《政府信息公开条例》，根据实际，及时调整了孟庄镇政务公开工作领导小组，并及时更新政府班子分工情况，健全政务公开责任、审议、评议、反馈、审查和监督等六项制度，明确党政办、</w:t>
      </w:r>
      <w:r>
        <w:rPr>
          <w:rFonts w:hint="eastAsia" w:ascii="仿宋_GB2312" w:hAnsi="仿宋_GB2312" w:eastAsia="仿宋_GB2312" w:cs="仿宋_GB2312"/>
          <w:b/>
          <w:bCs w:val="0"/>
          <w:color w:val="auto"/>
          <w:sz w:val="32"/>
          <w:szCs w:val="32"/>
          <w:lang w:val="en-US" w:eastAsia="zh-CN"/>
        </w:rPr>
        <w:t>政研室</w:t>
      </w:r>
      <w:r>
        <w:rPr>
          <w:rFonts w:hint="eastAsia" w:ascii="仿宋_GB2312" w:hAnsi="仿宋_GB2312" w:eastAsia="仿宋_GB2312" w:cs="仿宋_GB2312"/>
          <w:b/>
          <w:bCs w:val="0"/>
          <w:color w:val="auto"/>
          <w:sz w:val="32"/>
          <w:szCs w:val="32"/>
          <w:lang w:eastAsia="zh-CN"/>
        </w:rPr>
        <w:t>等相关部门具体负责统筹、协调、编制、公布政府信息公开内容，保障政府信息及时公开到位。</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（一）2022年存在问题整改情况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进一步培养扩充人员队伍。加强相关业务知识培训，切实提高政务信息公开工作人员能力和水平；二是进一步完善政府信息公开制度。修订完善政府信息公开各项制度，督促我镇各部门做好重点领域主动公开工作；三是进一步深入拓展公开渠道。通过“茶韵果香山水孟庄微信公众号”等平台不断拓展政策解读渠道和方式，提高政策的针对性、可读性和覆盖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（二）2023年存在问题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w:t>
      </w:r>
      <w:r>
        <w:rPr>
          <w:rFonts w:hint="eastAsia" w:ascii="仿宋_GB2312" w:hAnsi="仿宋_GB2312" w:eastAsia="仿宋_GB2312" w:cs="仿宋_GB2312"/>
          <w:b/>
          <w:bCs/>
          <w:color w:val="auto"/>
          <w:kern w:val="0"/>
          <w:sz w:val="32"/>
          <w:szCs w:val="32"/>
          <w:lang w:val="en-US" w:eastAsia="zh-CN" w:bidi="ar-SA"/>
        </w:rPr>
        <w:t>2023年我镇政府信息公开工作总体上看，运行状况较好，但对照上级标准存在一定差距。主要表现在：一是信息公开全面性有待加强，部分类型信息公开度不够；二是工作人员业务水平有待提升，对依申请公开的流程及相关业务知识不够了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（三）改进措施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加强重点领域信息公开，按照政府信息主动公开范围，严格遵守信息公开制度，及时准确的公开行政权力运行、财政资金使用、公共资源配置、公共服务、公共监管等重点领域信息。二是加强政策措施宣传和热点舆情解读回应，做到及时向群众公开及解读。充分利用政府门户网站及时将政府信息公开，并设置政务公开栏，切实做到公开、便民。三是加强平台建设、制度建设和基础建设，加强工作人员培训，提高人员素质，强化专职人员工作考核，进一步健全和完善各项制度和工作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b/>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 </w:t>
      </w:r>
      <w:r>
        <w:rPr>
          <w:rFonts w:hint="eastAsia" w:ascii="仿宋_GB2312" w:hAnsi="仿宋_GB2312" w:eastAsia="仿宋_GB2312" w:cs="仿宋_GB2312"/>
          <w:b/>
          <w:bCs/>
          <w:color w:val="auto"/>
          <w:kern w:val="0"/>
          <w:sz w:val="32"/>
          <w:szCs w:val="32"/>
          <w:lang w:val="en-US" w:eastAsia="zh-CN" w:bidi="ar-SA"/>
        </w:rPr>
        <w:t>市中区孟庄镇人民政府能及时按照上级政务公开工作要点要求落实各项工作。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2023年，市中区孟庄镇人民政府共承办区级人大代表建议3件，办复率100%；承办区政协委员提案13件，办复率100%。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（四）本行政机关年度政务公开工作创新情况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为进一步强化政务公开标准化建设，增强群众对政府工作的知晓度和参与率，孟庄镇强化举措，创新探索“周报快车”新模式，通过一周一报的形式，及时向群众公开政府工作动态，助推政务公开工作走深入实。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sz w:val="32"/>
          <w:szCs w:val="32"/>
          <w:shd w:val="clear" w:color="auto" w:fill="FFFFFF"/>
          <w:lang w:val="en-US" w:eastAsia="zh-CN"/>
        </w:rPr>
        <w:t>市中区孟庄镇人民政府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kern w:val="0"/>
          <w:sz w:val="32"/>
          <w:szCs w:val="32"/>
          <w:lang w:val="en-US" w:eastAsia="zh-CN" w:bidi="ar-SA"/>
        </w:rPr>
        <w:t xml:space="preserve">                              </w:t>
      </w:r>
      <w:r>
        <w:rPr>
          <w:rFonts w:hint="eastAsia" w:ascii="仿宋_GB2312" w:hAnsi="仿宋_GB2312" w:eastAsia="仿宋_GB2312" w:cs="仿宋_GB2312"/>
          <w:b/>
          <w:bCs/>
          <w:color w:val="auto"/>
          <w:sz w:val="32"/>
          <w:szCs w:val="32"/>
          <w:shd w:val="clear" w:color="auto" w:fill="FFFFFF"/>
          <w:lang w:val="en-US" w:eastAsia="zh-CN"/>
        </w:rPr>
        <w:t>2024年1月12日</w:t>
      </w:r>
    </w:p>
    <w:p>
      <w:pPr>
        <w:rPr>
          <w:rFonts w:hint="eastAsia" w:eastAsiaTheme="minorEastAsia"/>
          <w:color w:val="auto"/>
          <w:lang w:eastAsia="zh-CN"/>
        </w:rPr>
      </w:pPr>
    </w:p>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WY4OGFmNjQ3ZjJhNTM1MWI0NGIwMDY2MjI5MjMifQ=="/>
  </w:docVars>
  <w:rsids>
    <w:rsidRoot w:val="00112B69"/>
    <w:rsid w:val="00081823"/>
    <w:rsid w:val="00112B69"/>
    <w:rsid w:val="005A70FF"/>
    <w:rsid w:val="00B03096"/>
    <w:rsid w:val="00F0539A"/>
    <w:rsid w:val="021D046B"/>
    <w:rsid w:val="025E0CC2"/>
    <w:rsid w:val="0A3E1141"/>
    <w:rsid w:val="0B8F2AB2"/>
    <w:rsid w:val="0D426B65"/>
    <w:rsid w:val="0DB7343A"/>
    <w:rsid w:val="101A475B"/>
    <w:rsid w:val="1AAF71B2"/>
    <w:rsid w:val="1D276D79"/>
    <w:rsid w:val="1DC53412"/>
    <w:rsid w:val="1FD24907"/>
    <w:rsid w:val="2007106B"/>
    <w:rsid w:val="21473D67"/>
    <w:rsid w:val="227F4F5F"/>
    <w:rsid w:val="24B65C7B"/>
    <w:rsid w:val="271F6DB2"/>
    <w:rsid w:val="28BE4FD8"/>
    <w:rsid w:val="2A366FA5"/>
    <w:rsid w:val="2A6E4A40"/>
    <w:rsid w:val="2B247393"/>
    <w:rsid w:val="2B7E7F7A"/>
    <w:rsid w:val="2C672CE3"/>
    <w:rsid w:val="335A167F"/>
    <w:rsid w:val="34C27E73"/>
    <w:rsid w:val="372B44B7"/>
    <w:rsid w:val="37DD4F2A"/>
    <w:rsid w:val="3CA63654"/>
    <w:rsid w:val="424E6C95"/>
    <w:rsid w:val="42962A0C"/>
    <w:rsid w:val="43677CBB"/>
    <w:rsid w:val="4A263FB9"/>
    <w:rsid w:val="4BE16E0F"/>
    <w:rsid w:val="4D6F2AFE"/>
    <w:rsid w:val="5A891C07"/>
    <w:rsid w:val="5AE6494C"/>
    <w:rsid w:val="5EA95810"/>
    <w:rsid w:val="62A02DE5"/>
    <w:rsid w:val="62DF0CAC"/>
    <w:rsid w:val="64490C92"/>
    <w:rsid w:val="6EC52406"/>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21</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2024-01-12T06:01:00Z</cp:lastPrinted>
  <dcterms:modified xsi:type="dcterms:W3CDTF">2024-01-17T00:19:09Z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F6E6D70E21A34D54BE0DB1BFE7A5A4C4_13</vt:lpwstr>
  </property>
</Properties>
</file>