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36"/>
          <w:szCs w:val="36"/>
          <w:lang w:val="en-US" w:eastAsia="zh-CN"/>
        </w:rPr>
        <w:t>市中区光明路街道办事处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36"/>
          <w:szCs w:val="36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报告中所列数据的统计期限自2023年1月1日起至2023年12月31日止。本报告可在市中区人民政府网站（http://www.zzszq.gov.cn/）下载。本报告所列数据的统计时限自2023年1月1日至2023年12月31日。如对本报告有疑问，可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市中区光明路街道办事处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枣庄市市中区光明东路84号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0632-3335239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"mailto:htqzfzwgkk@wf.shandong.cn%E3%80%82"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Gmljdbsc.abmi.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@zz.shandong.cn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eastAsia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rPr>
          <w:rFonts w:hint="default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年，光明路街道认真贯彻落实《中华人民共和国政府信息公开条例》，着力健全完善信息公开工作体系，强化信息公开载体建设，结合我镇街工作实际，进一步健全组织机构，完善信息公开机制，强化各项工作措施，在扩大公众知情权、满足公众信息需求方面取得了积极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2023年，我街道主动公开信息1935条，其中在区政府门户网站公开118条，政务新媒体公开956条，其他渠道公开861条。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2023年光明路街道办事处未收到政府信息公开申请，无收费和减免事项，无因信息公开申请而被提起行政复议和行政诉讼情况。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bookmarkStart w:id="9" w:name="_GoBack"/>
      <w:bookmarkEnd w:id="9"/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一是完善信息公开管理流程。建立政府信息公开工作全流程管理机制，安排专人负责信息公开传送。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三是不断完善公开制度机制。202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年，全面落实“以公开为常态、不公开为例外”要求，主动、及时、规范、准确公开应当公开的政府信息，切实做到应公开尽公开，不断提升公开常态化、规范化、标准化水平。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网站”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政务新媒体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许池绿波之乡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等平台发布信息，推动政务公开信息向不同群体精准推送，提升群众获取政府信息的便利度和幸福感。</w:t>
      </w:r>
      <w:r>
        <w:rPr>
          <w:rFonts w:eastAsia="仿宋_GB2312"/>
          <w:color w:val="auto"/>
          <w:sz w:val="32"/>
          <w:szCs w:val="32"/>
          <w:lang w:eastAsia="zh-CN" w:bidi="ar-SA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监督保障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 建立主动公开、依申请公开、保密审查、政务舆情回应等制度，把政府信息公开纳入日常工作安排部署，促进信息公开工作规范化。配备专职工作人员1名，具体负责政务公开工作。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1" w:leftChars="-51" w:right="-122" w:rightChars="-51" w:hanging="1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 w:right="-122" w:rightChars="-51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 w:right="-122" w:rightChars="-51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1" w:leftChars="-51" w:right="-122" w:rightChars="-51" w:hanging="1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2" w:leftChars="-30" w:right="-154" w:rightChars="-64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eastAsia="黑体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（一）2022年存在问题整改情况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一是信息公开全面性有待加强，部分类型信息公开度不够；二是工作人员业务水平有待提升，对依申请公开的流程及相关业务知识不够了解。针对2022年存在的问题，我街道进一步培养扩充人员队伍。加强相关业务知识培训，切实提高政务信息公开工作人员能力和水平，同时进一步完善政府信息公开制度。修订完善政府信息公开各项制度，督促做好重点领域主动公开工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（二）2023年存在问题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信息公开不够全面 虽然政府发布了一些信息,但是这些信息往往不够全面。公众从政府的官方渠道获取想要的信息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-SA"/>
        </w:rPr>
        <w:t>不方便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,这也是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-SA"/>
        </w:rPr>
        <w:t>我们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信息公开工作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-SA"/>
        </w:rPr>
        <w:t>需要改进的地方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改进措施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我们将进一步加强与各部门的信息系统对接，实现信息的互通共享，提高信息公开的全面性和准确性。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eastAsia="黑体"/>
          <w:color w:val="auto"/>
          <w:sz w:val="32"/>
          <w:szCs w:val="32"/>
          <w:lang w:eastAsia="zh-CN" w:bidi="zh-TW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zh-TW"/>
        </w:rPr>
        <w:t>六、</w:t>
      </w:r>
      <w:r>
        <w:rPr>
          <w:rFonts w:eastAsia="黑体"/>
          <w:b/>
          <w:bCs/>
          <w:color w:val="auto"/>
          <w:sz w:val="32"/>
          <w:szCs w:val="32"/>
          <w:lang w:eastAsia="zh-CN" w:bidi="zh-TW"/>
        </w:rPr>
        <w:t>其他需要报告的事项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3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本年度依申请公开政府信息未收取任何费用。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5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落实上级年度政务公开工作要点情况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一是围绕建设法治政府全面推进政务公开。深入贯彻落实国家、省、市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关于全面推进政务公开工作的决策部署，始终把政府信息和政务公开作为增强依法行政透明度，强化社会监督，服务群众的一个重要抓手，努力推进政府信息公开制度化、规范化、日常化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二是围绕重点领域加大主动公开力度，如社会救助、儿童、养老、残疾人等领域，每月及时公布补贴信息及名单，确保信息公开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三是加强政策解读。一是严格落实政策文件与解读方案、解读材料同步起草、同步审批、同步发布的要求，解读好相关政策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四是围绕社会关切加强舆情回应。密切监测收集苗头性舆情，做到及时预警、科学研判、妥善处置、有效回应。对涉及我局各项工作的新闻报道或评论所引发的反应、言论、评论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综合舆论进行监测、研判、预警、处置和引导，积极稳妥做好突发事件舆情回应工作，及时准确发布权威信息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5" w:firstLine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人大代表建议和政协委员提案办理情况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2023年，共承办区级人大代表建议8件（包含市里1件），办复率100%；承办区政协委员提案29件，办复率100%。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5" w:firstLineChars="0"/>
        <w:contextualSpacing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本行政机关年度政务公开工作创新情况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为确保政府信息公开的数量和质量，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我街道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制定新媒体信息发布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周公开制度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，信息的采集、更新与报送，实行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专人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负责制，由单位主要负责同志审阅后，在政务网站和微信公众号“许池绿波之乡”发布。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市中区光明路街道办事处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2024年1月 10日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E2DA7"/>
    <w:multiLevelType w:val="singleLevel"/>
    <w:tmpl w:val="EC9E2D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054E4D"/>
    <w:multiLevelType w:val="singleLevel"/>
    <w:tmpl w:val="10054E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jg1OTM3MTFhYWIzNWZhNzU0MzBiOTUwOTJhODMifQ=="/>
  </w:docVars>
  <w:rsids>
    <w:rsidRoot w:val="00112B69"/>
    <w:rsid w:val="00081823"/>
    <w:rsid w:val="00112B69"/>
    <w:rsid w:val="00241239"/>
    <w:rsid w:val="005A70FF"/>
    <w:rsid w:val="00B03096"/>
    <w:rsid w:val="00F0539A"/>
    <w:rsid w:val="021D046B"/>
    <w:rsid w:val="025E0CC2"/>
    <w:rsid w:val="0A3E1141"/>
    <w:rsid w:val="0B8F2AB2"/>
    <w:rsid w:val="0D426B65"/>
    <w:rsid w:val="0DB7343A"/>
    <w:rsid w:val="101A475B"/>
    <w:rsid w:val="1AAF71B2"/>
    <w:rsid w:val="1D276D79"/>
    <w:rsid w:val="1DC53412"/>
    <w:rsid w:val="1FD24907"/>
    <w:rsid w:val="2007106B"/>
    <w:rsid w:val="227F4F5F"/>
    <w:rsid w:val="24B65C7B"/>
    <w:rsid w:val="271F6DB2"/>
    <w:rsid w:val="28BE4FD8"/>
    <w:rsid w:val="2A366FA5"/>
    <w:rsid w:val="2A6E4A40"/>
    <w:rsid w:val="2B247393"/>
    <w:rsid w:val="2B7E7F7A"/>
    <w:rsid w:val="30C268AF"/>
    <w:rsid w:val="337F6507"/>
    <w:rsid w:val="33C37486"/>
    <w:rsid w:val="34C27E73"/>
    <w:rsid w:val="372B44B7"/>
    <w:rsid w:val="37DD4F2A"/>
    <w:rsid w:val="3CA63654"/>
    <w:rsid w:val="3DC2361C"/>
    <w:rsid w:val="403F7ACA"/>
    <w:rsid w:val="424E6C95"/>
    <w:rsid w:val="42962A0C"/>
    <w:rsid w:val="43677CBB"/>
    <w:rsid w:val="47C922DF"/>
    <w:rsid w:val="4A263FB9"/>
    <w:rsid w:val="4BE16E0F"/>
    <w:rsid w:val="52BD3D25"/>
    <w:rsid w:val="5A891C07"/>
    <w:rsid w:val="5AE6494C"/>
    <w:rsid w:val="5EA95810"/>
    <w:rsid w:val="62A02DE5"/>
    <w:rsid w:val="62DF0CAC"/>
    <w:rsid w:val="64490C92"/>
    <w:rsid w:val="6EC52406"/>
    <w:rsid w:val="71742F46"/>
    <w:rsid w:val="72BB477E"/>
    <w:rsid w:val="743334DA"/>
    <w:rsid w:val="754C48A1"/>
    <w:rsid w:val="7616358B"/>
    <w:rsid w:val="7D726BF8"/>
    <w:rsid w:val="7E683C9F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2738</Words>
  <Characters>2884</Characters>
  <Lines>53</Lines>
  <Paragraphs>15</Paragraphs>
  <TotalTime>83</TotalTime>
  <ScaleCrop>false</ScaleCrop>
  <LinksUpToDate>false</LinksUpToDate>
  <CharactersWithSpaces>2919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2024-01-16T06:53:43Z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21FB3F3AC99C4EFEB080F7539CBD5969_13</vt:lpwstr>
  </property>
</Properties>
</file>