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bookmarkStart w:id="1" w:name="_GoBack"/>
      <w:r>
        <w:rPr>
          <w:rFonts w:hint="eastAsia" w:ascii="方正小标宋简体" w:hAnsi="方正小标宋简体" w:eastAsia="方正小标宋简体"/>
          <w:color w:val="auto"/>
          <w:sz w:val="44"/>
          <w:szCs w:val="44"/>
          <w:lang w:val="en-US" w:eastAsia="zh-CN"/>
        </w:rPr>
        <w:t>市中区行政审批服务局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bookmarkEnd w:id="1"/>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市中区行政审批服务局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枣庄市市中区龙头中路100号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0632-8252006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（szqzwfwzxglbgsadmin@zz.shandong.cn）</w:t>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2021年，区行政审批服务局认真贯彻落实党中央、国务院和省、市、区关于政府信息公开工作的部署要求，</w:t>
      </w:r>
      <w:r>
        <w:rPr>
          <w:rFonts w:hint="eastAsia" w:ascii="仿宋" w:hAnsi="仿宋" w:eastAsia="仿宋" w:cs="仿宋"/>
          <w:color w:val="auto"/>
          <w:sz w:val="30"/>
          <w:szCs w:val="30"/>
        </w:rPr>
        <w:t>以增强信息公开实效、提高工作透明度、提升政府公信力为重点，</w:t>
      </w:r>
      <w:r>
        <w:rPr>
          <w:rFonts w:hint="eastAsia" w:ascii="仿宋_GB2312" w:hAnsi="仿宋_GB2312" w:eastAsia="仿宋_GB2312" w:cs="仿宋_GB2312"/>
          <w:bCs/>
          <w:color w:val="auto"/>
          <w:sz w:val="32"/>
          <w:szCs w:val="32"/>
          <w:lang w:val="en-US" w:eastAsia="zh-CN"/>
        </w:rPr>
        <w:t>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shd w:val="clear" w:color="auto" w:fill="FFFFFF"/>
          <w:lang w:val="en-US" w:eastAsia="zh-CN"/>
        </w:rPr>
      </w:pPr>
      <w:r>
        <w:rPr>
          <w:rFonts w:hint="eastAsia" w:ascii="仿宋_GB2312" w:eastAsia="仿宋_GB2312"/>
          <w:color w:val="auto"/>
          <w:sz w:val="32"/>
          <w:szCs w:val="32"/>
          <w:shd w:val="clear" w:color="auto" w:fill="FFFFFF"/>
          <w:lang w:val="en-US" w:eastAsia="zh-CN"/>
        </w:rPr>
        <w:t xml:space="preserve"> 主动公开信息580条，其中在政府门户网站公开570条，政务新媒体公开10条，其他渠道公开0条。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Ansi="黑体" w:eastAsia="黑体"/>
          <w:bCs/>
          <w:color w:val="auto"/>
          <w:sz w:val="32"/>
          <w:szCs w:val="32"/>
          <w:lang w:eastAsia="zh-CN"/>
        </w:rPr>
        <w:t>（四）平台建设情况</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依托“政府网站”山东政务服务网等平台发布信息，推动政务公开信息向不同群体精准推送，提升群众获取政府信息的便利度和幸福感。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黑体" w:eastAsia="黑体"/>
          <w:bCs/>
          <w:color w:val="auto"/>
          <w:sz w:val="32"/>
          <w:szCs w:val="32"/>
          <w:lang w:eastAsia="zh-CN"/>
        </w:rPr>
      </w:pPr>
      <w:r>
        <w:rPr>
          <w:rFonts w:hAnsi="黑体" w:eastAsia="黑体"/>
          <w:bCs/>
          <w:color w:val="auto"/>
          <w:sz w:val="32"/>
          <w:szCs w:val="32"/>
          <w:lang w:eastAsia="zh-CN"/>
        </w:rPr>
        <w:t>（五）监督保障方面</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仿宋_GB2312" w:eastAsia="仿宋_GB2312"/>
          <w:color w:val="auto"/>
          <w:sz w:val="32"/>
          <w:szCs w:val="32"/>
          <w:shd w:val="clear" w:color="auto" w:fill="FFFFFF"/>
          <w:lang w:val="en-US" w:eastAsia="zh-CN"/>
        </w:rPr>
      </w:pPr>
      <w:r>
        <w:rPr>
          <w:rFonts w:hint="eastAsia" w:ascii="仿宋_GB2312" w:eastAsia="仿宋_GB2312"/>
          <w:color w:val="auto"/>
          <w:sz w:val="32"/>
          <w:szCs w:val="32"/>
          <w:shd w:val="clear" w:color="auto" w:fill="FFFFFF"/>
          <w:lang w:val="en-US" w:eastAsia="zh-CN"/>
        </w:rPr>
        <w:t>2021年12月份，重新调整并公布了政务公开领导小组，由行政审批服务局主要负责同志担任组长，明确了政务公开机构和专职人员。</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385</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29356</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1"/>
                <w:szCs w:val="21"/>
                <w:lang w:val="en-US" w:eastAsia="zh-CN"/>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bidi="en-US"/>
              </w:rPr>
            </w:pPr>
            <w:r>
              <w:rPr>
                <w:rFonts w:hint="eastAsia" w:eastAsia="仿宋_GB2312"/>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eastAsia="黑体"/>
          <w:color w:val="auto"/>
          <w:sz w:val="32"/>
          <w:szCs w:val="32"/>
          <w:lang w:eastAsia="zh-CN" w:bidi="ar-SA"/>
        </w:rPr>
      </w:pPr>
      <w:r>
        <w:rPr>
          <w:rFonts w:hint="eastAsia" w:eastAsia="宋体"/>
          <w:color w:val="C00000"/>
          <w:lang w:val="en-US" w:eastAsia="zh-CN"/>
        </w:rPr>
        <w:t>填写说明：以上表格，如果有，请照实填写，如果没有，都填〇。</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存在问题：2021年，我局认真贯彻落实《条例》要求，在信息公开方面取得了一定的成绩，但仍然存在不足：一是政务公开内容和范围要进一步进行规范和梳理，同时对政务公开的监督力度不够主动公开政府信息的及时性、全面性有待提升；二是政府信息依申请公开的规范性、程序性有待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改进措施：</w:t>
      </w:r>
      <w:r>
        <w:rPr>
          <w:rFonts w:hint="eastAsia" w:ascii="仿宋" w:hAnsi="仿宋" w:eastAsia="仿宋" w:cs="仿宋"/>
          <w:sz w:val="30"/>
          <w:szCs w:val="30"/>
        </w:rPr>
        <w:t>一是加大公开力度。认真落实《政府信息公开条例》和区政府年度信息公开工作要点，加大主动公开力度，认真做好解读，积极回应社会关切问题。二是加强学习教育。继续加强对信息公开工作的业务学习与培训，提高广大干部职工对信息公开工作的认识，紧密结合我局工作实际，把握信息公开的重点和群众期盼，增强信息公开实效，保障信息公开工作便民高效。</w:t>
      </w:r>
      <w:r>
        <w:t xml:space="preserve"> </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eastAsia="zh-CN"/>
        </w:rPr>
      </w:pPr>
      <w:r>
        <w:rPr>
          <w:rFonts w:hint="eastAsia" w:eastAsia="仿宋_GB2312"/>
          <w:b/>
          <w:bCs/>
          <w:color w:val="auto"/>
          <w:sz w:val="32"/>
          <w:szCs w:val="32"/>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2021年，市中区行政审批服务局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区级人大代表建议2件，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区政协委员提案3件，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（单位名称）</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龙头中路100</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8252006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Fonts w:hint="eastAsia" w:eastAsia="仿宋_GB2312" w:cs="Times New Roman"/>
          <w:i w:val="0"/>
          <w:caps w:val="0"/>
          <w:color w:val="auto"/>
          <w:spacing w:val="0"/>
          <w:kern w:val="0"/>
          <w:sz w:val="32"/>
          <w:szCs w:val="32"/>
          <w:shd w:val="clear" w:color="auto" w:fill="FFFFFF"/>
          <w:lang w:val="en-US" w:eastAsia="zh-CN" w:bidi="ar"/>
        </w:rPr>
        <w:t>szqzwfwzxglbgsadmin</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color w:val="C00000"/>
          <w:sz w:val="32"/>
          <w:szCs w:val="32"/>
          <w:lang w:val="en-US" w:eastAsia="zh-CN"/>
        </w:rPr>
      </w:pPr>
      <w:r>
        <w:rPr>
          <w:rFonts w:hint="eastAsia" w:eastAsia="仿宋_GB2312"/>
          <w:b/>
          <w:bCs/>
          <w:color w:val="auto"/>
          <w:sz w:val="32"/>
          <w:szCs w:val="32"/>
          <w:shd w:val="clear" w:color="auto" w:fill="FFFFFF"/>
          <w:lang w:val="en-US" w:eastAsia="zh-CN"/>
        </w:rPr>
        <w:t>市中区行政审批服务局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2022年1月20日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9E3D1E"/>
    <w:rsid w:val="00B03096"/>
    <w:rsid w:val="00F0539A"/>
    <w:rsid w:val="021D046B"/>
    <w:rsid w:val="025E0CC2"/>
    <w:rsid w:val="04FF4DDF"/>
    <w:rsid w:val="0A3E1141"/>
    <w:rsid w:val="0B8F2AB2"/>
    <w:rsid w:val="101A475B"/>
    <w:rsid w:val="1AAF71B2"/>
    <w:rsid w:val="1D276D79"/>
    <w:rsid w:val="2007106B"/>
    <w:rsid w:val="202C4C58"/>
    <w:rsid w:val="24B65C7B"/>
    <w:rsid w:val="257F5946"/>
    <w:rsid w:val="271F6DB2"/>
    <w:rsid w:val="28BE4FD8"/>
    <w:rsid w:val="2A366FA5"/>
    <w:rsid w:val="2B247393"/>
    <w:rsid w:val="2B7E7F7A"/>
    <w:rsid w:val="2F4D1F33"/>
    <w:rsid w:val="34C27E73"/>
    <w:rsid w:val="372B44B7"/>
    <w:rsid w:val="37DD4F2A"/>
    <w:rsid w:val="3CA63654"/>
    <w:rsid w:val="424E6C95"/>
    <w:rsid w:val="4A263FB9"/>
    <w:rsid w:val="5A891C07"/>
    <w:rsid w:val="5AE6494C"/>
    <w:rsid w:val="5EA95810"/>
    <w:rsid w:val="62A02DE5"/>
    <w:rsid w:val="62DF0CAC"/>
    <w:rsid w:val="64490C92"/>
    <w:rsid w:val="72BB477E"/>
    <w:rsid w:val="733F09D3"/>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2022-01-20T07:31:00Z</cp:lastPrinted>
  <dcterms:modified xsi:type="dcterms:W3CDTF">2022-01-20T09:16:13Z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02CC1B26F0124898AAF4D2B315D355A6</vt:lpwstr>
  </property>
</Properties>
</file>