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color w:val="auto"/>
          <w:sz w:val="44"/>
          <w:szCs w:val="44"/>
          <w:lang w:val="en-US" w:eastAsia="zh-CN"/>
        </w:rPr>
      </w:pPr>
      <w:r>
        <w:rPr>
          <w:rFonts w:hint="eastAsia" w:ascii="方正小标宋简体" w:hAnsi="方正小标宋简体" w:eastAsia="方正小标宋简体"/>
          <w:color w:val="auto"/>
          <w:sz w:val="44"/>
          <w:szCs w:val="44"/>
          <w:lang w:val="en-US" w:eastAsia="zh-CN"/>
        </w:rPr>
        <w:t>市中区发展和改革局</w:t>
      </w: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202</w:t>
      </w:r>
      <w:r>
        <w:rPr>
          <w:rFonts w:hint="eastAsia" w:ascii="方正小标宋简体" w:eastAsia="方正小标宋简体"/>
          <w:color w:val="auto"/>
          <w:sz w:val="44"/>
          <w:szCs w:val="44"/>
          <w:lang w:val="en-US" w:eastAsia="zh-CN"/>
        </w:rPr>
        <w:t>1</w:t>
      </w:r>
      <w:r>
        <w:rPr>
          <w:rFonts w:hint="eastAsia" w:ascii="方正小标宋简体" w:hAnsi="方正小标宋简体" w:eastAsia="方正小标宋简体"/>
          <w:color w:val="auto"/>
          <w:sz w:val="44"/>
          <w:szCs w:val="44"/>
          <w:lang w:eastAsia="zh-CN"/>
        </w:rPr>
        <w:t>年政府信息公开工作年度报告</w:t>
      </w:r>
    </w:p>
    <w:p>
      <w:pPr>
        <w:ind w:firstLine="640" w:firstLineChars="200"/>
        <w:rPr>
          <w:rFonts w:eastAsia="黑体"/>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仿宋_GB2312"/>
          <w:i w:val="0"/>
          <w:iCs w:val="0"/>
          <w:color w:val="auto"/>
          <w:sz w:val="32"/>
          <w:szCs w:val="32"/>
          <w:shd w:val="clear" w:color="auto" w:fill="FFFFFF"/>
          <w:lang w:eastAsia="zh-CN"/>
        </w:rPr>
      </w:pPr>
      <w:bookmarkStart w:id="1" w:name="_GoBack"/>
      <w:r>
        <w:rPr>
          <w:rFonts w:eastAsia="仿宋_GB2312"/>
          <w:i w:val="0"/>
          <w:iCs w:val="0"/>
          <w:color w:val="auto"/>
          <w:sz w:val="32"/>
          <w:szCs w:val="32"/>
          <w:shd w:val="clear" w:color="auto" w:fill="FFFFFF"/>
          <w:lang w:eastAsia="zh-CN"/>
        </w:rPr>
        <w:t>根据《中华人民共和国政府信息公开条例》、《</w:t>
      </w:r>
      <w:r>
        <w:rPr>
          <w:rFonts w:hint="eastAsia" w:eastAsia="仿宋_GB2312"/>
          <w:i w:val="0"/>
          <w:iCs w:val="0"/>
          <w:color w:val="auto"/>
          <w:sz w:val="32"/>
          <w:szCs w:val="32"/>
          <w:shd w:val="clear" w:color="auto" w:fill="FFFFFF"/>
          <w:lang w:eastAsia="zh-CN"/>
        </w:rPr>
        <w:t>国务院办公厅政府信息与政务公开办公室关于印发《中华人民共和国政府信息公开工作年度报告格式》的通知</w:t>
      </w:r>
      <w:r>
        <w:rPr>
          <w:rFonts w:eastAsia="仿宋_GB2312"/>
          <w:i w:val="0"/>
          <w:iCs w:val="0"/>
          <w:color w:val="auto"/>
          <w:sz w:val="32"/>
          <w:szCs w:val="32"/>
          <w:shd w:val="clear" w:color="auto" w:fill="FFFFFF"/>
          <w:lang w:eastAsia="zh-CN"/>
        </w:rPr>
        <w:t>》（国办公开办函〔20</w:t>
      </w:r>
      <w:r>
        <w:rPr>
          <w:rFonts w:hint="eastAsia" w:eastAsia="仿宋_GB2312"/>
          <w:i w:val="0"/>
          <w:iCs w:val="0"/>
          <w:color w:val="auto"/>
          <w:sz w:val="32"/>
          <w:szCs w:val="32"/>
          <w:shd w:val="clear" w:color="auto" w:fill="FFFFFF"/>
          <w:lang w:val="en-US" w:eastAsia="zh-CN"/>
        </w:rPr>
        <w:t>21</w:t>
      </w:r>
      <w:r>
        <w:rPr>
          <w:rFonts w:eastAsia="仿宋_GB2312"/>
          <w:i w:val="0"/>
          <w:iCs w:val="0"/>
          <w:color w:val="auto"/>
          <w:sz w:val="32"/>
          <w:szCs w:val="32"/>
          <w:shd w:val="clear" w:color="auto" w:fill="FFFFFF"/>
          <w:lang w:eastAsia="zh-CN"/>
        </w:rPr>
        <w:t>〕</w:t>
      </w:r>
      <w:r>
        <w:rPr>
          <w:rFonts w:hint="eastAsia" w:eastAsia="仿宋_GB2312"/>
          <w:i w:val="0"/>
          <w:iCs w:val="0"/>
          <w:color w:val="auto"/>
          <w:sz w:val="32"/>
          <w:szCs w:val="32"/>
          <w:shd w:val="clear" w:color="auto" w:fill="FFFFFF"/>
          <w:lang w:val="en-US" w:eastAsia="zh-CN"/>
        </w:rPr>
        <w:t>30</w:t>
      </w:r>
      <w:r>
        <w:rPr>
          <w:rFonts w:eastAsia="仿宋_GB2312"/>
          <w:i w:val="0"/>
          <w:iCs w:val="0"/>
          <w:color w:val="auto"/>
          <w:sz w:val="32"/>
          <w:szCs w:val="32"/>
          <w:shd w:val="clear" w:color="auto" w:fill="FFFFFF"/>
          <w:lang w:eastAsia="zh-CN"/>
        </w:rPr>
        <w:t>号）和省、</w:t>
      </w:r>
      <w:r>
        <w:rPr>
          <w:rFonts w:hint="eastAsia" w:eastAsia="仿宋_GB2312"/>
          <w:i w:val="0"/>
          <w:iCs w:val="0"/>
          <w:color w:val="auto"/>
          <w:sz w:val="32"/>
          <w:szCs w:val="32"/>
          <w:shd w:val="clear" w:color="auto" w:fill="FFFFFF"/>
          <w:lang w:val="en-US" w:eastAsia="zh-CN"/>
        </w:rPr>
        <w:t>市</w:t>
      </w:r>
      <w:r>
        <w:rPr>
          <w:rFonts w:eastAsia="仿宋_GB2312"/>
          <w:i w:val="0"/>
          <w:iCs w:val="0"/>
          <w:color w:val="auto"/>
          <w:sz w:val="32"/>
          <w:szCs w:val="32"/>
          <w:shd w:val="clear" w:color="auto" w:fill="FFFFFF"/>
          <w:lang w:eastAsia="zh-CN"/>
        </w:rPr>
        <w:t>有关工作要求，编制本报告</w:t>
      </w:r>
      <w:r>
        <w:rPr>
          <w:rFonts w:hint="eastAsia" w:eastAsia="仿宋_GB2312"/>
          <w:i w:val="0"/>
          <w:iCs w:val="0"/>
          <w:color w:val="auto"/>
          <w:sz w:val="32"/>
          <w:szCs w:val="32"/>
          <w:shd w:val="clear" w:color="auto" w:fill="FFFFFF"/>
          <w:lang w:val="en-US" w:eastAsia="zh-CN"/>
        </w:rPr>
        <w:t xml:space="preserve"> </w:t>
      </w:r>
      <w:r>
        <w:rPr>
          <w:rFonts w:eastAsia="仿宋_GB2312"/>
          <w:i w:val="0"/>
          <w:iCs w:val="0"/>
          <w:color w:val="auto"/>
          <w:sz w:val="32"/>
          <w:szCs w:val="32"/>
          <w:shd w:val="clear" w:color="auto" w:fill="FFFFFF"/>
          <w:lang w:eastAsia="zh-CN"/>
        </w:rPr>
        <w:t>并向社会公开。本年度报告电子版可从</w:t>
      </w:r>
      <w:r>
        <w:rPr>
          <w:rFonts w:hint="eastAsia" w:eastAsia="仿宋_GB2312"/>
          <w:i w:val="0"/>
          <w:iCs w:val="0"/>
          <w:color w:val="auto"/>
          <w:sz w:val="32"/>
          <w:szCs w:val="32"/>
          <w:shd w:val="clear" w:color="auto" w:fill="FFFFFF"/>
          <w:lang w:val="en-US" w:eastAsia="zh-CN"/>
        </w:rPr>
        <w:t>市中区</w:t>
      </w:r>
      <w:r>
        <w:rPr>
          <w:rFonts w:eastAsia="仿宋_GB2312"/>
          <w:i w:val="0"/>
          <w:iCs w:val="0"/>
          <w:color w:val="auto"/>
          <w:sz w:val="32"/>
          <w:szCs w:val="32"/>
          <w:shd w:val="clear" w:color="auto" w:fill="FFFFFF"/>
          <w:lang w:eastAsia="zh-CN"/>
        </w:rPr>
        <w:t>人民政府门户网站（</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http://www.zzszq.gov.cn/</w:t>
      </w:r>
      <w:r>
        <w:rPr>
          <w:rFonts w:eastAsia="仿宋_GB2312"/>
          <w:i w:val="0"/>
          <w:iCs w:val="0"/>
          <w:color w:val="auto"/>
          <w:sz w:val="32"/>
          <w:szCs w:val="32"/>
          <w:shd w:val="clear" w:color="auto" w:fill="FFFFFF"/>
          <w:lang w:eastAsia="zh-CN"/>
        </w:rPr>
        <w:t>）查阅或下载。</w:t>
      </w:r>
      <w:r>
        <w:rPr>
          <w:rFonts w:eastAsia="仿宋_GB2312"/>
          <w:color w:val="auto"/>
          <w:sz w:val="32"/>
          <w:szCs w:val="32"/>
          <w:shd w:val="clear" w:color="auto" w:fill="FFFFFF"/>
          <w:lang w:eastAsia="zh-CN"/>
        </w:rPr>
        <w:t>本报告所列数据的统计时限自202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市中区发改局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w:t>
      </w:r>
      <w:r>
        <w:rPr>
          <w:rFonts w:hint="eastAsia" w:eastAsia="仿宋_GB2312"/>
          <w:color w:val="auto"/>
          <w:sz w:val="32"/>
          <w:szCs w:val="32"/>
          <w:lang w:val="en-US" w:eastAsia="zh-CN"/>
        </w:rPr>
        <w:t>君山中路321</w:t>
      </w:r>
      <w:r>
        <w:rPr>
          <w:rFonts w:hint="eastAsia" w:eastAsia="仿宋_GB2312"/>
          <w:color w:val="auto"/>
          <w:sz w:val="32"/>
          <w:szCs w:val="32"/>
          <w:shd w:val="clear" w:color="auto" w:fill="FFFFFF"/>
          <w:lang w:val="en-US" w:eastAsia="zh-CN"/>
        </w:rPr>
        <w:t>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w:t>
      </w:r>
      <w:r>
        <w:rPr>
          <w:rFonts w:hint="eastAsia" w:eastAsia="仿宋_GB2312"/>
          <w:color w:val="auto"/>
          <w:sz w:val="32"/>
          <w:szCs w:val="32"/>
          <w:lang w:val="en-US" w:eastAsia="zh-CN"/>
        </w:rPr>
        <w:t>392453</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begin"/>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instrText xml:space="preserve"> HYPERLINK "mailto:htqzfzwgkk@wf.shandong.cn%E3%80%82" </w:instrTex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separate"/>
      </w:r>
      <w:r>
        <w:rPr>
          <w:rStyle w:val="6"/>
          <w:rFonts w:hint="eastAsia" w:ascii="Times New Roman" w:hAnsi="Times New Roman" w:eastAsia="仿宋_GB2312" w:cs="Times New Roman"/>
          <w:i w:val="0"/>
          <w:caps w:val="0"/>
          <w:color w:val="auto"/>
          <w:spacing w:val="0"/>
          <w:sz w:val="32"/>
          <w:szCs w:val="32"/>
          <w:u w:val="none"/>
          <w:shd w:val="clear" w:color="auto" w:fill="FFFFFF"/>
          <w:lang w:val="en-US" w:eastAsia="zh-CN"/>
        </w:rPr>
        <w:t>szqfgjgg</w:t>
      </w:r>
      <w:r>
        <w:rPr>
          <w:rStyle w:val="6"/>
          <w:rFonts w:hint="default" w:ascii="Times New Roman" w:hAnsi="Times New Roman" w:eastAsia="仿宋_GB2312" w:cs="Times New Roman"/>
          <w:i w:val="0"/>
          <w:caps w:val="0"/>
          <w:color w:val="auto"/>
          <w:spacing w:val="0"/>
          <w:sz w:val="32"/>
          <w:szCs w:val="32"/>
          <w:u w:val="none"/>
          <w:shd w:val="clear" w:color="auto" w:fill="FFFFFF"/>
        </w:rPr>
        <w:t>@zz.shandong.cn</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end"/>
      </w:r>
      <w:r>
        <w:rPr>
          <w:rFonts w:eastAsia="仿宋_GB2312"/>
          <w:color w:val="auto"/>
          <w:sz w:val="32"/>
          <w:szCs w:val="32"/>
          <w:shd w:val="clear" w:color="auto" w:fill="FFFFFF"/>
          <w:lang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shd w:val="clear" w:color="auto" w:fill="FFFFFF"/>
          <w:lang w:eastAsia="zh-CN"/>
        </w:rPr>
      </w:pPr>
      <w:r>
        <w:rPr>
          <w:rFonts w:eastAsia="黑体"/>
          <w:color w:val="auto"/>
          <w:sz w:val="32"/>
          <w:szCs w:val="32"/>
          <w:shd w:val="clear" w:color="auto" w:fill="FFFFFF"/>
          <w:lang w:eastAsia="zh-CN"/>
        </w:rPr>
        <w:t>—</w:t>
      </w:r>
      <w:r>
        <w:rPr>
          <w:rFonts w:hAnsi="黑体" w:eastAsia="黑体"/>
          <w:color w:val="auto"/>
          <w:sz w:val="32"/>
          <w:szCs w:val="32"/>
          <w:shd w:val="clear" w:color="auto" w:fill="FFFFFF"/>
          <w:lang w:eastAsia="zh-CN"/>
        </w:rPr>
        <w:t>、总体情况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default" w:hAnsi="黑体" w:eastAsia="黑体"/>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2021年，市中区发改局认真贯彻落实党中央、国务院和省、市、区关于政府信息公开工作的部署要求，进一步调整优化公开目录，深入拓展公开渠道，持续丰富公开形式，及时回应社会关切，不断提升政府信息公开工作力度和实效，全面深化政务公开，持续规范推进政府信息公开，以公开促落实、促规范、促服务，有效促进了政务公开工作的常态化、规范化、标准化水平，政府信息公开水平实现新的突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（一）主动公开情况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_GB2312" w:hAnsi="仿宋_GB2312" w:eastAsia="仿宋_GB2312" w:cs="仿宋_GB2312"/>
          <w:bCs/>
          <w:color w:val="C00000"/>
          <w:sz w:val="32"/>
          <w:szCs w:val="32"/>
          <w:lang w:val="en-US" w:eastAsia="zh-CN"/>
        </w:rPr>
      </w:pPr>
      <w:r>
        <w:rPr>
          <w:rFonts w:hint="eastAsia" w:hAnsi="黑体" w:eastAsia="黑体"/>
          <w:bCs/>
          <w:color w:val="auto"/>
          <w:sz w:val="32"/>
          <w:szCs w:val="32"/>
          <w:lang w:val="en-US" w:eastAsia="zh-CN"/>
        </w:rPr>
        <w:t xml:space="preserve">  </w:t>
      </w:r>
      <w:r>
        <w:rPr>
          <w:rFonts w:hint="eastAsia" w:ascii="仿宋_GB2312" w:hAnsi="仿宋_GB2312" w:eastAsia="仿宋_GB2312" w:cs="仿宋_GB2312"/>
          <w:bCs/>
          <w:color w:val="auto"/>
          <w:sz w:val="32"/>
          <w:szCs w:val="32"/>
          <w:lang w:val="en-US" w:eastAsia="zh-CN"/>
        </w:rPr>
        <w:t xml:space="preserve"> 主动公开信息56条，其中在政府门户网站公开43条，政务新媒体公开13条，其他渠道公开0条。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（二）依申请公开办理情况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共受理政府信息公开申请</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lang w:eastAsia="zh-CN"/>
        </w:rPr>
        <w:t>件，其中予以公开申请</w:t>
      </w:r>
      <w:r>
        <w:rPr>
          <w:rFonts w:hint="eastAsia" w:ascii="仿宋_GB2312" w:eastAsia="仿宋_GB2312"/>
          <w:color w:val="auto"/>
          <w:sz w:val="32"/>
          <w:szCs w:val="32"/>
          <w:shd w:val="clear" w:color="auto" w:fill="FFFFFF"/>
          <w:lang w:val="en-US" w:eastAsia="zh-CN"/>
        </w:rPr>
        <w:t>3</w:t>
      </w:r>
      <w:r>
        <w:rPr>
          <w:rFonts w:hint="eastAsia" w:ascii="仿宋_GB2312" w:eastAsia="仿宋_GB2312"/>
          <w:color w:val="auto"/>
          <w:sz w:val="32"/>
          <w:szCs w:val="32"/>
          <w:shd w:val="clear" w:color="auto" w:fill="FFFFFF"/>
          <w:lang w:eastAsia="zh-CN"/>
        </w:rPr>
        <w:t>件，部分公开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件，无法提供</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件，不予处理</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件，均在法定期限内予以答复。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auto"/>
          <w:sz w:val="32"/>
          <w:szCs w:val="32"/>
          <w:lang w:eastAsia="zh-CN"/>
        </w:rPr>
      </w:pPr>
      <w:r>
        <w:rPr>
          <w:rFonts w:hint="eastAsia" w:ascii="仿宋_GB2312" w:eastAsia="仿宋_GB2312"/>
          <w:color w:val="auto"/>
          <w:sz w:val="32"/>
          <w:szCs w:val="32"/>
          <w:shd w:val="clear" w:color="auto" w:fill="FFFFFF"/>
          <w:lang w:eastAsia="zh-CN"/>
        </w:rPr>
        <w:t>因政府信息公开被申请行政复议</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件，因公民、法人和其他组织认为行政机关政府信息公开工作具体行政行为侵犯其合法权益，提起行政诉讼</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hAnsi="黑体" w:eastAsia="黑体"/>
          <w:bCs/>
          <w:color w:val="auto"/>
          <w:sz w:val="32"/>
          <w:szCs w:val="32"/>
          <w:lang w:eastAsia="zh-CN"/>
        </w:rPr>
        <w:t>（三）政府信息管理情况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themeColor="text1"/>
          <w:sz w:val="32"/>
          <w:szCs w:val="32"/>
          <w:shd w:val="clear" w:color="auto" w:fill="FFFFFF"/>
          <w:lang w:eastAsia="zh-CN"/>
          <w14:textFill>
            <w14:solidFill>
              <w14:schemeClr w14:val="tx1"/>
            </w14:solidFill>
          </w14:textFill>
        </w:rPr>
      </w:pPr>
      <w:r>
        <w:rPr>
          <w:rFonts w:hint="eastAsia" w:eastAsia="仿宋_GB2312"/>
          <w:color w:val="000000" w:themeColor="text1"/>
          <w:sz w:val="32"/>
          <w:szCs w:val="32"/>
          <w:shd w:val="clear" w:color="auto" w:fill="FFFFFF"/>
          <w:lang w:eastAsia="zh-CN"/>
          <w14:textFill>
            <w14:solidFill>
              <w14:schemeClr w14:val="tx1"/>
            </w14:solidFill>
          </w14:textFill>
        </w:rPr>
        <w:t>一是完善信息公开管理流程。建立政府信息公开工作全流程管理机制，安排专人负责信息公开传送和平台管理。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themeColor="text1"/>
          <w:sz w:val="32"/>
          <w:szCs w:val="32"/>
          <w:shd w:val="clear" w:color="auto" w:fill="FFFFFF"/>
          <w:lang w:eastAsia="zh-CN"/>
          <w14:textFill>
            <w14:solidFill>
              <w14:schemeClr w14:val="tx1"/>
            </w14:solidFill>
          </w14:textFill>
        </w:rPr>
      </w:pPr>
      <w:r>
        <w:rPr>
          <w:rFonts w:hint="eastAsia" w:eastAsia="仿宋_GB2312"/>
          <w:color w:val="000000" w:themeColor="text1"/>
          <w:sz w:val="32"/>
          <w:szCs w:val="32"/>
          <w:shd w:val="clear" w:color="auto" w:fill="FFFFFF"/>
          <w:lang w:eastAsia="zh-CN"/>
          <w14:textFill>
            <w14:solidFill>
              <w14:schemeClr w14:val="tx1"/>
            </w14:solidFill>
          </w14:textFill>
        </w:rPr>
        <w:t>二是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仿宋_GB2312"/>
          <w:color w:val="000000" w:themeColor="text1"/>
          <w:sz w:val="32"/>
          <w:szCs w:val="32"/>
          <w:lang w:eastAsia="zh-CN" w:bidi="ar-SA"/>
          <w14:textFill>
            <w14:solidFill>
              <w14:schemeClr w14:val="tx1"/>
            </w14:solidFill>
          </w14:textFill>
        </w:rPr>
      </w:pPr>
      <w:r>
        <w:rPr>
          <w:rFonts w:hint="eastAsia" w:eastAsia="仿宋_GB2312"/>
          <w:color w:val="000000" w:themeColor="text1"/>
          <w:sz w:val="32"/>
          <w:szCs w:val="32"/>
          <w:shd w:val="clear" w:color="auto" w:fill="FFFFFF"/>
          <w:lang w:eastAsia="zh-CN"/>
          <w14:textFill>
            <w14:solidFill>
              <w14:schemeClr w14:val="tx1"/>
            </w14:solidFill>
          </w14:textFill>
        </w:rPr>
        <w:t>三是不断完善公开制度机制。202</w:t>
      </w:r>
      <w:r>
        <w:rPr>
          <w:rFonts w:hint="eastAsia" w:eastAsia="仿宋_GB2312"/>
          <w:color w:val="000000" w:themeColor="text1"/>
          <w:sz w:val="32"/>
          <w:szCs w:val="32"/>
          <w:shd w:val="clear" w:color="auto" w:fill="FFFFFF"/>
          <w:lang w:val="en-US" w:eastAsia="zh-CN"/>
          <w14:textFill>
            <w14:solidFill>
              <w14:schemeClr w14:val="tx1"/>
            </w14:solidFill>
          </w14:textFill>
        </w:rPr>
        <w:t>1</w:t>
      </w:r>
      <w:r>
        <w:rPr>
          <w:rFonts w:hint="eastAsia" w:eastAsia="仿宋_GB2312"/>
          <w:color w:val="000000" w:themeColor="text1"/>
          <w:sz w:val="32"/>
          <w:szCs w:val="32"/>
          <w:shd w:val="clear" w:color="auto" w:fill="FFFFFF"/>
          <w:lang w:eastAsia="zh-CN"/>
          <w14:textFill>
            <w14:solidFill>
              <w14:schemeClr w14:val="tx1"/>
            </w14:solidFill>
          </w14:textFill>
        </w:rPr>
        <w:t>年，全面落实“以公开为常态、不公开为例外”要求，主动、及时、规范、准确公开应当公开的政府信息，切实做到应公开尽公开，不断提升公开常态化、规范化、标准化水平。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eastAsia="黑体"/>
          <w:bCs/>
          <w:color w:val="auto"/>
          <w:sz w:val="32"/>
          <w:szCs w:val="32"/>
          <w:lang w:eastAsia="zh-CN"/>
        </w:rPr>
        <w:t>（四）平台建设情况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eastAsia="仿宋_GB2312"/>
          <w:color w:val="auto"/>
          <w:sz w:val="32"/>
          <w:szCs w:val="32"/>
          <w:lang w:eastAsia="zh-CN" w:bidi="ar-SA"/>
        </w:rPr>
      </w:pPr>
      <w:r>
        <w:rPr>
          <w:rFonts w:eastAsia="仿宋_GB2312"/>
          <w:color w:val="auto"/>
          <w:sz w:val="32"/>
          <w:szCs w:val="32"/>
          <w:shd w:val="clear" w:color="auto" w:fill="FFFFFF"/>
          <w:lang w:eastAsia="zh-CN"/>
        </w:rPr>
        <w:t>依托“政府网站”等平台发布信息，推动政务公开信息向不同群体精准推送，提升群众获取政府信息的便利度和幸福感。</w:t>
      </w:r>
      <w:r>
        <w:rPr>
          <w:rFonts w:eastAsia="仿宋_GB2312"/>
          <w:color w:val="auto"/>
          <w:sz w:val="32"/>
          <w:szCs w:val="32"/>
          <w:lang w:eastAsia="zh-CN" w:bidi="ar-SA"/>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eastAsia" w:hAnsi="黑体" w:eastAsia="黑体"/>
          <w:color w:val="auto"/>
          <w:sz w:val="32"/>
          <w:szCs w:val="32"/>
          <w:lang w:eastAsia="zh-CN" w:bidi="ar-SA"/>
        </w:rPr>
      </w:pPr>
      <w:r>
        <w:rPr>
          <w:rFonts w:hAnsi="黑体" w:eastAsia="黑体"/>
          <w:color w:val="auto"/>
          <w:sz w:val="32"/>
          <w:szCs w:val="32"/>
          <w:lang w:eastAsia="zh-CN" w:bidi="ar-SA"/>
        </w:rPr>
        <w:t>（五）监督保障方面</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Times New Roman" w:hAnsi="Times New Roman" w:eastAsia="仿宋_GB2312" w:cs="Times New Roman"/>
          <w:color w:val="auto"/>
          <w:sz w:val="32"/>
          <w:szCs w:val="32"/>
          <w:lang w:eastAsia="zh-CN" w:bidi="ar-SA"/>
        </w:rPr>
      </w:pPr>
      <w:r>
        <w:rPr>
          <w:rFonts w:hint="eastAsia" w:ascii="Times New Roman" w:hAnsi="Times New Roman" w:eastAsia="仿宋_GB2312" w:cs="Times New Roman"/>
          <w:color w:val="auto"/>
          <w:sz w:val="32"/>
          <w:szCs w:val="32"/>
          <w:lang w:val="en-US" w:eastAsia="zh-CN" w:bidi="ar-SA"/>
        </w:rPr>
        <w:t>成立政务公开领导小组，明确专人负责政务公开工作。</w:t>
      </w:r>
    </w:p>
    <w:p>
      <w:pPr>
        <w:pStyle w:val="9"/>
        <w:keepNext w:val="0"/>
        <w:keepLines w:val="0"/>
        <w:pageBreakBefore w:val="0"/>
        <w:kinsoku/>
        <w:wordWrap/>
        <w:overflowPunct/>
        <w:topLinePunct w:val="0"/>
        <w:autoSpaceDE/>
        <w:autoSpaceDN/>
        <w:bidi w:val="0"/>
        <w:adjustRightInd/>
        <w:snapToGrid/>
        <w:spacing w:line="560" w:lineRule="exact"/>
        <w:ind w:firstLine="580"/>
        <w:textAlignment w:val="auto"/>
        <w:rPr>
          <w:rFonts w:ascii="Times New Roman" w:hAnsi="Times New Roman" w:eastAsia="黑体" w:cs="Times New Roman"/>
          <w:color w:val="auto"/>
          <w:sz w:val="32"/>
          <w:szCs w:val="32"/>
        </w:rPr>
      </w:pPr>
      <w:r>
        <w:rPr>
          <w:rFonts w:ascii="Times New Roman" w:hAnsi="黑体" w:eastAsia="黑体" w:cs="Times New Roman"/>
          <w:bCs/>
          <w:color w:val="auto"/>
          <w:sz w:val="32"/>
          <w:szCs w:val="32"/>
        </w:rPr>
        <w:t>二、主动公开政府信息情况</w:t>
      </w:r>
    </w:p>
    <w:tbl>
      <w:tblPr>
        <w:tblStyle w:val="4"/>
        <w:tblW w:w="8722" w:type="dxa"/>
        <w:jc w:val="center"/>
        <w:tblInd w:w="0" w:type="dxa"/>
        <w:tblLayout w:type="fixed"/>
        <w:tblCellMar>
          <w:top w:w="0" w:type="dxa"/>
          <w:left w:w="10" w:type="dxa"/>
          <w:bottom w:w="0" w:type="dxa"/>
          <w:right w:w="10" w:type="dxa"/>
        </w:tblCellMar>
      </w:tblPr>
      <w:tblGrid>
        <w:gridCol w:w="3115"/>
        <w:gridCol w:w="2146"/>
        <w:gridCol w:w="1610"/>
        <w:gridCol w:w="1851"/>
      </w:tblGrid>
      <w:tr>
        <w:tblPrEx>
          <w:tblLayout w:type="fixed"/>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第二十条第（一）项</w:t>
            </w:r>
          </w:p>
        </w:tc>
      </w:tr>
      <w:tr>
        <w:tblPrEx>
          <w:tblLayout w:type="fixed"/>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本年新制作数量</w:t>
            </w:r>
          </w:p>
        </w:tc>
        <w:tc>
          <w:tcPr>
            <w:tcW w:w="1610"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本年新公开数量</w:t>
            </w:r>
          </w:p>
        </w:tc>
        <w:tc>
          <w:tcPr>
            <w:tcW w:w="1851"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对外公开总数量</w:t>
            </w:r>
          </w:p>
        </w:tc>
      </w:tr>
      <w:tr>
        <w:tblPrEx>
          <w:tblLayout w:type="fixed"/>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规章</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规范性文件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第二十条第（五）项</w:t>
            </w:r>
          </w:p>
        </w:tc>
      </w:tr>
      <w:tr>
        <w:tblPrEx>
          <w:tblLayout w:type="fixed"/>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行政许可</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增2</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其他对外管理服务事项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增43</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第二十条第（六）项</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行政处罚</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59</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增12</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行政强制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增6</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第二十条第（八）项</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bottom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行政事业性收费</w:t>
            </w:r>
          </w:p>
        </w:tc>
        <w:tc>
          <w:tcPr>
            <w:tcW w:w="214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sz w:val="2"/>
          <w:szCs w:val="2"/>
        </w:rPr>
      </w:pPr>
      <w:r>
        <w:rPr>
          <w:color w:val="auto"/>
        </w:rPr>
        <w:br w:type="page"/>
      </w:r>
    </w:p>
    <w:p>
      <w:pPr>
        <w:pStyle w:val="9"/>
        <w:keepNext w:val="0"/>
        <w:keepLines w:val="0"/>
        <w:pageBreakBefore w:val="0"/>
        <w:kinsoku/>
        <w:wordWrap/>
        <w:overflowPunct/>
        <w:topLinePunct w:val="0"/>
        <w:autoSpaceDE/>
        <w:autoSpaceDN/>
        <w:bidi w:val="0"/>
        <w:adjustRightInd/>
        <w:snapToGrid/>
        <w:spacing w:line="560" w:lineRule="exact"/>
        <w:ind w:firstLine="600"/>
        <w:textAlignment w:val="auto"/>
        <w:rPr>
          <w:rFonts w:ascii="Times New Roman" w:hAnsi="Times New Roman" w:eastAsia="黑体" w:cs="Times New Roman"/>
          <w:color w:val="auto"/>
          <w:sz w:val="32"/>
          <w:szCs w:val="32"/>
        </w:rPr>
      </w:pPr>
      <w:r>
        <w:rPr>
          <w:rFonts w:ascii="Times New Roman" w:hAnsi="Times New Roman" w:eastAsia="黑体" w:cs="Times New Roman"/>
          <w:bCs/>
          <w:color w:val="auto"/>
          <w:sz w:val="32"/>
          <w:szCs w:val="32"/>
        </w:rPr>
        <w:t>三、收到和处理政府信息公开申请情况</w:t>
      </w:r>
    </w:p>
    <w:tbl>
      <w:tblPr>
        <w:tblStyle w:val="4"/>
        <w:tblW w:w="8721" w:type="dxa"/>
        <w:jc w:val="center"/>
        <w:tblInd w:w="0" w:type="dxa"/>
        <w:tblLayout w:type="fixed"/>
        <w:tblCellMar>
          <w:top w:w="0" w:type="dxa"/>
          <w:left w:w="10" w:type="dxa"/>
          <w:bottom w:w="0" w:type="dxa"/>
          <w:right w:w="10" w:type="dxa"/>
        </w:tblCellMar>
      </w:tblPr>
      <w:tblGrid>
        <w:gridCol w:w="518"/>
        <w:gridCol w:w="1414"/>
        <w:gridCol w:w="2709"/>
        <w:gridCol w:w="624"/>
        <w:gridCol w:w="562"/>
        <w:gridCol w:w="562"/>
        <w:gridCol w:w="566"/>
        <w:gridCol w:w="566"/>
        <w:gridCol w:w="566"/>
        <w:gridCol w:w="634"/>
      </w:tblGrid>
      <w:tr>
        <w:tblPrEx>
          <w:tblLayout w:type="fixed"/>
          <w:tblCellMar>
            <w:top w:w="0" w:type="dxa"/>
            <w:left w:w="10" w:type="dxa"/>
            <w:bottom w:w="0" w:type="dxa"/>
            <w:right w:w="10" w:type="dxa"/>
          </w:tblCellMar>
        </w:tblPrEx>
        <w:trPr>
          <w:trHeight w:val="538" w:hRule="exact"/>
          <w:jc w:val="center"/>
        </w:trPr>
        <w:tc>
          <w:tcPr>
            <w:tcW w:w="4641" w:type="dxa"/>
            <w:gridSpan w:val="3"/>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申请人情况</w:t>
            </w:r>
          </w:p>
        </w:tc>
      </w:tr>
      <w:tr>
        <w:tblPrEx>
          <w:tblLayout w:type="fixed"/>
          <w:tblCellMar>
            <w:top w:w="0" w:type="dxa"/>
            <w:left w:w="10" w:type="dxa"/>
            <w:bottom w:w="0" w:type="dxa"/>
            <w:right w:w="10" w:type="dxa"/>
          </w:tblCellMar>
        </w:tblPrEx>
        <w:trPr>
          <w:trHeight w:val="475"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自然人</w:t>
            </w:r>
          </w:p>
        </w:tc>
        <w:tc>
          <w:tcPr>
            <w:tcW w:w="2822"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总计</w:t>
            </w:r>
          </w:p>
        </w:tc>
      </w:tr>
      <w:tr>
        <w:tblPrEx>
          <w:tblLayout w:type="fixed"/>
          <w:tblCellMar>
            <w:top w:w="0" w:type="dxa"/>
            <w:left w:w="10" w:type="dxa"/>
            <w:bottom w:w="0" w:type="dxa"/>
            <w:right w:w="10" w:type="dxa"/>
          </w:tblCellMar>
        </w:tblPrEx>
        <w:trPr>
          <w:trHeight w:val="914"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商业 企业</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科研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10"/>
                <w:szCs w:val="10"/>
                <w:lang w:eastAsia="zh-CN"/>
              </w:rPr>
            </w:pPr>
            <w:r>
              <w:rPr>
                <w:rFonts w:hint="eastAsia" w:ascii="仿宋_GB2312" w:hAnsi="仿宋_GB2312" w:eastAsia="仿宋_GB2312" w:cs="仿宋_GB2312"/>
                <w:color w:val="auto"/>
                <w:sz w:val="20"/>
                <w:szCs w:val="20"/>
                <w:lang w:val="zh-TW" w:eastAsia="zh-CN" w:bidi="zh-TW"/>
              </w:rPr>
              <w:t>社会公益组织</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法律 服务 机构</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其他</w:t>
            </w:r>
          </w:p>
        </w:tc>
        <w:tc>
          <w:tcPr>
            <w:tcW w:w="634"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r>
      <w:tr>
        <w:tblPrEx>
          <w:tblLayout w:type="fixed"/>
          <w:tblCellMar>
            <w:top w:w="0" w:type="dxa"/>
            <w:left w:w="10" w:type="dxa"/>
            <w:bottom w:w="0" w:type="dxa"/>
            <w:right w:w="10" w:type="dxa"/>
          </w:tblCellMar>
        </w:tblPrEx>
        <w:trPr>
          <w:trHeight w:val="536" w:hRule="exact"/>
          <w:jc w:val="center"/>
        </w:trPr>
        <w:tc>
          <w:tcPr>
            <w:tcW w:w="4641" w:type="dxa"/>
            <w:gridSpan w:val="3"/>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一、本年新收政府信息公开申请数量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val="en-US" w:eastAsia="zh-CN"/>
              </w:rPr>
            </w:pPr>
            <w:r>
              <w:rPr>
                <w:rFonts w:hint="eastAsia" w:eastAsia="仿宋_GB2312"/>
                <w:color w:val="auto"/>
                <w:sz w:val="32"/>
                <w:szCs w:val="32"/>
                <w:lang w:val="en-US" w:eastAsia="zh-CN"/>
              </w:rPr>
              <w:t>3</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val="en-US" w:eastAsia="zh-CN"/>
              </w:rPr>
            </w:pPr>
            <w:r>
              <w:rPr>
                <w:rFonts w:hint="eastAsia" w:eastAsia="仿宋_GB2312"/>
                <w:color w:val="auto"/>
                <w:sz w:val="32"/>
                <w:szCs w:val="32"/>
                <w:lang w:val="en-US" w:eastAsia="zh-CN"/>
              </w:rPr>
              <w:t>3</w:t>
            </w:r>
          </w:p>
        </w:tc>
      </w:tr>
      <w:tr>
        <w:tblPrEx>
          <w:tblLayout w:type="fixed"/>
          <w:tblCellMar>
            <w:top w:w="0" w:type="dxa"/>
            <w:left w:w="10" w:type="dxa"/>
            <w:bottom w:w="0" w:type="dxa"/>
            <w:right w:w="10" w:type="dxa"/>
          </w:tblCellMar>
        </w:tblPrEx>
        <w:trPr>
          <w:trHeight w:val="495" w:hRule="exact"/>
          <w:jc w:val="center"/>
        </w:trPr>
        <w:tc>
          <w:tcPr>
            <w:tcW w:w="4641" w:type="dxa"/>
            <w:gridSpan w:val="3"/>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二、上年结转政府信息公开申请数量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520" w:hRule="exact"/>
          <w:jc w:val="center"/>
        </w:trPr>
        <w:tc>
          <w:tcPr>
            <w:tcW w:w="518" w:type="dxa"/>
            <w:vMerge w:val="restart"/>
            <w:tcBorders>
              <w:top w:val="single" w:color="auto" w:sz="4" w:space="0"/>
              <w:left w:val="single" w:color="auto" w:sz="4" w:space="0"/>
            </w:tcBorders>
            <w:shd w:val="clear" w:color="auto" w:fill="FFFFFF"/>
            <w:textDirection w:val="tbRlV"/>
            <w:vAlign w:val="center"/>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eastAsia="仿宋_GB2312" w:cs="Times New Roman"/>
                <w:color w:val="auto"/>
              </w:rPr>
            </w:pPr>
            <w:r>
              <w:rPr>
                <w:rFonts w:hint="eastAsia" w:ascii="仿宋_GB2312" w:hAnsi="仿宋_GB2312" w:eastAsia="仿宋_GB2312" w:cs="仿宋_GB2312"/>
                <w:color w:val="auto"/>
              </w:rPr>
              <w:t>三、本年度办理结果</w:t>
            </w: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（一）予以公开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val="en-US" w:eastAsia="zh-CN"/>
              </w:rPr>
            </w:pPr>
            <w:r>
              <w:rPr>
                <w:rFonts w:hint="eastAsia" w:eastAsia="仿宋_GB2312"/>
                <w:color w:val="auto"/>
                <w:sz w:val="32"/>
                <w:szCs w:val="32"/>
                <w:lang w:val="en-US" w:eastAsia="zh-CN"/>
              </w:rPr>
              <w:t>3</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val="en-US" w:eastAsia="zh-CN"/>
              </w:rPr>
            </w:pPr>
            <w:r>
              <w:rPr>
                <w:rFonts w:hint="eastAsia" w:eastAsia="仿宋_GB2312"/>
                <w:color w:val="auto"/>
                <w:sz w:val="32"/>
                <w:szCs w:val="32"/>
                <w:lang w:val="en-US" w:eastAsia="zh-CN"/>
              </w:rPr>
              <w:t>3</w:t>
            </w: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（二）部分公开（区分处理的，只计这一情形，不计其他情形）</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（三）不予公开</w:t>
            </w: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属于国家秘密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lang w:eastAsia="zh-CN"/>
              </w:rPr>
              <w:t>其他法律行政法规</w:t>
            </w:r>
            <w:r>
              <w:rPr>
                <w:rFonts w:hint="eastAsia" w:ascii="仿宋_GB2312" w:hAnsi="仿宋_GB2312" w:eastAsia="仿宋_GB2312" w:cs="仿宋_GB2312"/>
                <w:color w:val="auto"/>
                <w:sz w:val="20"/>
                <w:szCs w:val="20"/>
              </w:rPr>
              <w:t>禁止公开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危及</w:t>
            </w:r>
            <w:r>
              <w:rPr>
                <w:rFonts w:hint="eastAsia" w:ascii="仿宋_GB2312" w:hAnsi="仿宋_GB2312" w:eastAsia="仿宋_GB2312" w:cs="仿宋_GB2312"/>
                <w:color w:val="auto"/>
                <w:sz w:val="20"/>
                <w:szCs w:val="20"/>
                <w:lang w:val="zh-CN" w:eastAsia="zh-CN" w:bidi="zh-CN"/>
              </w:rPr>
              <w:t>“三</w:t>
            </w:r>
            <w:r>
              <w:rPr>
                <w:rFonts w:hint="eastAsia" w:ascii="仿宋_GB2312" w:hAnsi="仿宋_GB2312" w:eastAsia="仿宋_GB2312" w:cs="仿宋_GB2312"/>
                <w:color w:val="auto"/>
                <w:sz w:val="20"/>
                <w:szCs w:val="20"/>
              </w:rPr>
              <w:t>安全一稳定”</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4.</w:t>
            </w:r>
            <w:r>
              <w:rPr>
                <w:rFonts w:hint="eastAsia" w:ascii="仿宋_GB2312" w:hAnsi="仿宋_GB2312" w:eastAsia="仿宋_GB2312" w:cs="仿宋_GB2312"/>
                <w:color w:val="auto"/>
                <w:sz w:val="20"/>
                <w:szCs w:val="20"/>
              </w:rPr>
              <w:t>保护第三方合法权益</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属于三类内部事务信息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6.</w:t>
            </w:r>
            <w:r>
              <w:rPr>
                <w:rFonts w:hint="eastAsia" w:ascii="仿宋_GB2312" w:hAnsi="仿宋_GB2312" w:eastAsia="仿宋_GB2312" w:cs="仿宋_GB2312"/>
                <w:color w:val="auto"/>
                <w:sz w:val="20"/>
                <w:szCs w:val="20"/>
              </w:rPr>
              <w:t>属于四类过程性信息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403"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7.</w:t>
            </w:r>
            <w:r>
              <w:rPr>
                <w:rFonts w:hint="eastAsia" w:ascii="仿宋_GB2312" w:hAnsi="仿宋_GB2312" w:eastAsia="仿宋_GB2312" w:cs="仿宋_GB2312"/>
                <w:color w:val="auto"/>
                <w:sz w:val="20"/>
                <w:szCs w:val="20"/>
              </w:rPr>
              <w:t>属于行政执法案卷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8.</w:t>
            </w:r>
            <w:r>
              <w:rPr>
                <w:rFonts w:hint="eastAsia" w:ascii="仿宋_GB2312" w:hAnsi="仿宋_GB2312" w:eastAsia="仿宋_GB2312" w:cs="仿宋_GB2312"/>
                <w:color w:val="auto"/>
                <w:sz w:val="20"/>
                <w:szCs w:val="20"/>
              </w:rPr>
              <w:t>属于行政查询事项</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（四）无法提供</w:t>
            </w: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1.</w:t>
            </w:r>
            <w:r>
              <w:rPr>
                <w:rFonts w:hint="eastAsia" w:ascii="仿宋_GB2312" w:hAnsi="仿宋_GB2312" w:eastAsia="仿宋_GB2312" w:cs="仿宋_GB2312"/>
                <w:color w:val="auto"/>
                <w:sz w:val="20"/>
                <w:szCs w:val="20"/>
              </w:rPr>
              <w:t>本机关不掌握相关政府信息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rPr>
              <w:t>没有现成信息需要另行制作</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补正后申请内容仍不明确</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436"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（五）不予处理</w:t>
            </w: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信访举报投诉类申请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2.</w:t>
            </w:r>
            <w:r>
              <w:rPr>
                <w:rFonts w:hint="eastAsia" w:ascii="仿宋_GB2312" w:hAnsi="仿宋_GB2312" w:eastAsia="仿宋_GB2312" w:cs="仿宋_GB2312"/>
                <w:color w:val="auto"/>
                <w:sz w:val="20"/>
                <w:szCs w:val="20"/>
              </w:rPr>
              <w:t>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41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3.</w:t>
            </w:r>
            <w:r>
              <w:rPr>
                <w:rFonts w:hint="eastAsia" w:ascii="仿宋_GB2312" w:hAnsi="仿宋_GB2312" w:eastAsia="仿宋_GB2312" w:cs="仿宋_GB2312"/>
                <w:color w:val="auto"/>
                <w:sz w:val="20"/>
                <w:szCs w:val="20"/>
              </w:rPr>
              <w:t>要求提供公开出版物</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43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bottom"/>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4.</w:t>
            </w:r>
            <w:r>
              <w:rPr>
                <w:rFonts w:hint="eastAsia" w:ascii="仿宋_GB2312" w:hAnsi="仿宋_GB2312" w:eastAsia="仿宋_GB2312" w:cs="仿宋_GB2312"/>
                <w:color w:val="auto"/>
                <w:sz w:val="20"/>
                <w:szCs w:val="20"/>
              </w:rPr>
              <w:t>无正当理由大量反复申请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571"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tcPr>
          <w:p>
            <w:pPr>
              <w:pStyle w:val="10"/>
              <w:keepNext w:val="0"/>
              <w:keepLines w:val="0"/>
              <w:pageBreakBefore w:val="0"/>
              <w:widowControl w:val="0"/>
              <w:kinsoku/>
              <w:wordWrap/>
              <w:overflowPunct/>
              <w:topLinePunct w:val="0"/>
              <w:autoSpaceDE/>
              <w:autoSpaceDN/>
              <w:bidi w:val="0"/>
              <w:adjustRightInd/>
              <w:snapToGrid/>
              <w:spacing w:line="440" w:lineRule="exact"/>
              <w:ind w:left="340" w:hanging="34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（六）其他处理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sz w:val="32"/>
                <w:szCs w:val="32"/>
              </w:rPr>
            </w:pPr>
            <w:r>
              <w:rPr>
                <w:rFonts w:hint="eastAsia" w:eastAsia="宋体"/>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（七）总计</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3</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3</w:t>
            </w:r>
          </w:p>
        </w:tc>
      </w:tr>
      <w:tr>
        <w:tblPrEx>
          <w:tblLayout w:type="fixed"/>
          <w:tblCellMar>
            <w:top w:w="0" w:type="dxa"/>
            <w:left w:w="10" w:type="dxa"/>
            <w:bottom w:w="0" w:type="dxa"/>
            <w:right w:w="10" w:type="dxa"/>
          </w:tblCellMar>
        </w:tblPrEx>
        <w:trPr>
          <w:trHeight w:val="466" w:hRule="exact"/>
          <w:jc w:val="center"/>
        </w:trPr>
        <w:tc>
          <w:tcPr>
            <w:tcW w:w="4641" w:type="dxa"/>
            <w:gridSpan w:val="3"/>
            <w:tcBorders>
              <w:top w:val="single" w:color="auto" w:sz="4" w:space="0"/>
              <w:left w:val="single" w:color="auto" w:sz="4" w:space="0"/>
              <w:bottom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四、结转下年度继续办理</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sz w:val="32"/>
                <w:szCs w:val="32"/>
                <w:lang w:val="en-US" w:eastAsia="zh-CN"/>
              </w:rPr>
            </w:pPr>
            <w:r>
              <w:rPr>
                <w:rFonts w:hint="eastAsia" w:eastAsia="宋体"/>
                <w:color w:val="auto"/>
                <w:sz w:val="32"/>
                <w:szCs w:val="3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lang w:eastAsia="zh-CN"/>
        </w:rPr>
        <w:sectPr>
          <w:headerReference r:id="rId3" w:type="default"/>
          <w:footerReference r:id="rId5" w:type="default"/>
          <w:headerReference r:id="rId4" w:type="even"/>
          <w:footerReference r:id="rId6" w:type="even"/>
          <w:pgSz w:w="11900" w:h="16840"/>
          <w:pgMar w:top="2416" w:right="1302" w:bottom="1283" w:left="1771" w:header="0" w:footer="3" w:gutter="0"/>
          <w:pgNumType w:start="8"/>
          <w:cols w:space="720" w:num="1"/>
          <w:docGrid w:linePitch="360" w:charSpace="0"/>
        </w:sectPr>
      </w:pP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Times New Roman"/>
          <w:color w:val="auto"/>
          <w:sz w:val="32"/>
          <w:szCs w:val="32"/>
        </w:rPr>
      </w:pPr>
      <w:bookmarkStart w:id="0" w:name="bookmark39"/>
      <w:r>
        <w:rPr>
          <w:rFonts w:ascii="Times New Roman" w:hAnsi="Times New Roman" w:eastAsia="黑体" w:cs="Times New Roman"/>
          <w:bCs/>
          <w:color w:val="auto"/>
          <w:sz w:val="32"/>
          <w:szCs w:val="32"/>
        </w:rPr>
        <w:t>四</w:t>
      </w:r>
      <w:bookmarkEnd w:id="0"/>
      <w:r>
        <w:rPr>
          <w:rFonts w:ascii="Times New Roman" w:hAnsi="Times New Roman" w:eastAsia="黑体" w:cs="Times New Roman"/>
          <w:bCs/>
          <w:color w:val="auto"/>
          <w:sz w:val="32"/>
          <w:szCs w:val="32"/>
        </w:rPr>
        <w:t>、政府信息公开行政复议、行政诉讼情况</w:t>
      </w:r>
    </w:p>
    <w:tbl>
      <w:tblPr>
        <w:tblStyle w:val="4"/>
        <w:tblW w:w="8737" w:type="dxa"/>
        <w:jc w:val="center"/>
        <w:tblInd w:w="0" w:type="dxa"/>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Layout w:type="fixed"/>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行政诉讼</w:t>
            </w:r>
          </w:p>
        </w:tc>
      </w:tr>
      <w:tr>
        <w:tblPrEx>
          <w:tblLayout w:type="fixed"/>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629"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624" w:type="dxa"/>
            <w:vMerge w:val="restart"/>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2827" w:type="dxa"/>
            <w:gridSpan w:val="5"/>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复议后起诉</w:t>
            </w:r>
          </w:p>
        </w:tc>
      </w:tr>
      <w:tr>
        <w:tblPrEx>
          <w:tblLayout w:type="fixed"/>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6" w:type="dxa"/>
            <w:tcBorders>
              <w:top w:val="single" w:color="auto" w:sz="4" w:space="0"/>
              <w:left w:val="single" w:color="auto" w:sz="4" w:space="0"/>
            </w:tcBorders>
            <w:shd w:val="clear" w:color="auto" w:fill="FFFFFF"/>
            <w:textDirection w:val="tbRlV"/>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0"/>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pStyle w:val="8"/>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r>
      <w:tr>
        <w:tblPrEx>
          <w:tblLayout w:type="fixed"/>
          <w:tblCellMar>
            <w:top w:w="0" w:type="dxa"/>
            <w:left w:w="10" w:type="dxa"/>
            <w:bottom w:w="0" w:type="dxa"/>
            <w:right w:w="10" w:type="dxa"/>
          </w:tblCellMar>
        </w:tblPrEx>
        <w:trPr>
          <w:trHeight w:val="726" w:hRule="exact"/>
          <w:jc w:val="center"/>
        </w:trPr>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eastAsia="黑体"/>
          <w:color w:val="auto"/>
          <w:sz w:val="32"/>
          <w:szCs w:val="32"/>
          <w:lang w:eastAsia="zh-CN" w:bidi="ar-SA"/>
        </w:rPr>
      </w:pPr>
      <w:r>
        <w:rPr>
          <w:rFonts w:eastAsia="黑体"/>
          <w:color w:val="auto"/>
          <w:sz w:val="32"/>
          <w:szCs w:val="32"/>
          <w:lang w:eastAsia="zh-CN" w:bidi="ar-SA"/>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val="en-US" w:eastAsia="zh-CN" w:bidi="ar-SA"/>
        </w:rPr>
      </w:pPr>
      <w:r>
        <w:rPr>
          <w:rFonts w:ascii="Times New Roman" w:hAnsi="Times New Roman" w:eastAsia="仿宋_GB2312" w:cs="Times New Roman"/>
          <w:color w:val="auto"/>
          <w:sz w:val="32"/>
          <w:szCs w:val="32"/>
          <w:lang w:eastAsia="zh-CN" w:bidi="ar-SA"/>
        </w:rPr>
        <w:t>　</w:t>
      </w:r>
      <w:r>
        <w:rPr>
          <w:rFonts w:hint="eastAsia" w:ascii="仿宋_GB2312" w:hAnsi="仿宋_GB2312" w:eastAsia="仿宋_GB2312" w:cs="仿宋_GB2312"/>
          <w:b/>
          <w:bCs/>
          <w:color w:val="auto"/>
          <w:sz w:val="32"/>
          <w:szCs w:val="32"/>
          <w:lang w:eastAsia="zh-CN" w:bidi="ar-SA"/>
        </w:rPr>
        <w:t>　</w:t>
      </w:r>
      <w:r>
        <w:rPr>
          <w:rFonts w:hint="eastAsia" w:ascii="仿宋_GB2312" w:hAnsi="仿宋_GB2312" w:eastAsia="仿宋_GB2312" w:cs="仿宋_GB2312"/>
          <w:b w:val="0"/>
          <w:bCs w:val="0"/>
          <w:color w:val="auto"/>
          <w:sz w:val="32"/>
          <w:szCs w:val="32"/>
          <w:lang w:val="en-US" w:eastAsia="zh-CN" w:bidi="ar-SA"/>
        </w:rPr>
        <w:t>2021年，我局在推进政府政务公开工作方面取得了一定成绩，但工作中仍然存在不足，尤其是在决策公开、管理公开等方面的力度需进一步加大。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2021年，我局多次组织政务公开工作学习培训，对机关各股室政务公开分管负责同志和具体工作人员进行业务培训。进一步增强大家的政务公开意识、提高政务公开能力，做政务公开的明白人。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黑体"/>
          <w:color w:val="auto"/>
          <w:sz w:val="32"/>
          <w:szCs w:val="32"/>
          <w:lang w:eastAsia="zh-CN" w:bidi="zh-TW"/>
        </w:rPr>
      </w:pPr>
      <w:r>
        <w:rPr>
          <w:rFonts w:eastAsia="黑体"/>
          <w:color w:val="auto"/>
          <w:sz w:val="32"/>
          <w:szCs w:val="32"/>
          <w:lang w:eastAsia="zh-CN" w:bidi="zh-TW"/>
        </w:rPr>
        <w:t>六、其他需要报告的事项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3"/>
        <w:rPr>
          <w:rFonts w:ascii="Times New Roman" w:hAnsi="Times New Roman" w:eastAsia="黑体" w:cs="Times New Roman"/>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（一）人大代表建议和政协委员提案办理情况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rPr>
      </w:pPr>
      <w:r>
        <w:rPr>
          <w:rFonts w:hint="eastAsia" w:eastAsia="仿宋_GB2312"/>
          <w:color w:val="auto"/>
          <w:sz w:val="32"/>
          <w:szCs w:val="32"/>
          <w:lang w:val="en-US" w:eastAsia="zh-CN"/>
        </w:rPr>
        <w:t>2021年，市中区发展和改革局</w:t>
      </w:r>
      <w:r>
        <w:rPr>
          <w:rFonts w:eastAsia="仿宋_GB2312"/>
          <w:color w:val="auto"/>
          <w:sz w:val="32"/>
          <w:szCs w:val="32"/>
          <w:lang w:eastAsia="zh-CN"/>
        </w:rPr>
        <w:t>共承办</w:t>
      </w:r>
      <w:r>
        <w:rPr>
          <w:rFonts w:hint="eastAsia" w:eastAsia="仿宋_GB2312"/>
          <w:color w:val="auto"/>
          <w:sz w:val="32"/>
          <w:szCs w:val="32"/>
          <w:lang w:val="en-US" w:eastAsia="zh-CN"/>
        </w:rPr>
        <w:t>区级人大代表建议5件，</w:t>
      </w:r>
      <w:r>
        <w:rPr>
          <w:rFonts w:eastAsia="仿宋_GB2312"/>
          <w:color w:val="auto"/>
          <w:sz w:val="32"/>
          <w:szCs w:val="32"/>
          <w:lang w:eastAsia="zh-CN"/>
        </w:rPr>
        <w:t>办复率100%；承办</w:t>
      </w:r>
      <w:r>
        <w:rPr>
          <w:rFonts w:hint="eastAsia" w:eastAsia="仿宋_GB2312"/>
          <w:color w:val="auto"/>
          <w:sz w:val="32"/>
          <w:szCs w:val="32"/>
          <w:lang w:val="en-US" w:eastAsia="zh-CN"/>
        </w:rPr>
        <w:t>区政协委员提案7件，</w:t>
      </w:r>
      <w:r>
        <w:rPr>
          <w:rFonts w:eastAsia="仿宋_GB2312"/>
          <w:color w:val="auto"/>
          <w:sz w:val="32"/>
          <w:szCs w:val="32"/>
          <w:lang w:eastAsia="zh-CN"/>
        </w:rPr>
        <w:t>办复率100%。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val="0"/>
          <w:color w:val="auto"/>
          <w:sz w:val="32"/>
          <w:szCs w:val="32"/>
          <w:lang w:eastAsia="zh-CN"/>
        </w:rPr>
      </w:pPr>
      <w:r>
        <w:rPr>
          <w:rFonts w:hint="eastAsia" w:eastAsia="仿宋_GB2312"/>
          <w:b/>
          <w:bCs/>
          <w:color w:val="auto"/>
          <w:sz w:val="32"/>
          <w:szCs w:val="32"/>
          <w:lang w:eastAsia="zh-CN"/>
        </w:rPr>
        <w:t>（</w:t>
      </w:r>
      <w:r>
        <w:rPr>
          <w:rFonts w:hint="eastAsia" w:eastAsia="仿宋_GB2312"/>
          <w:b/>
          <w:bCs/>
          <w:color w:val="auto"/>
          <w:sz w:val="32"/>
          <w:szCs w:val="32"/>
          <w:lang w:val="en-US" w:eastAsia="zh-CN"/>
        </w:rPr>
        <w:t>二</w:t>
      </w:r>
      <w:r>
        <w:rPr>
          <w:rFonts w:hint="eastAsia" w:eastAsia="仿宋_GB2312"/>
          <w:b/>
          <w:bCs/>
          <w:color w:val="auto"/>
          <w:sz w:val="32"/>
          <w:szCs w:val="32"/>
          <w:lang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ascii="仿宋_GB2312" w:hAnsi="Times New Roman" w:eastAsia="仿宋_GB2312" w:cs="仿宋_GB2312"/>
          <w:color w:val="auto"/>
          <w:sz w:val="32"/>
          <w:szCs w:val="32"/>
          <w:lang w:eastAsia="zh-CN"/>
        </w:rPr>
        <w:t>本年度依申请公开政府信息未收取任何费用。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三</w:t>
      </w: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其他需要报告事项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eastAsia="仿宋_GB2312"/>
          <w:b/>
          <w:bCs/>
          <w:color w:val="auto"/>
          <w:sz w:val="32"/>
          <w:szCs w:val="32"/>
          <w:shd w:val="clear" w:color="auto" w:fill="FFFFFF"/>
          <w:lang w:val="en-US" w:eastAsia="zh-CN"/>
        </w:rPr>
      </w:pPr>
      <w:r>
        <w:rPr>
          <w:rFonts w:eastAsia="仿宋_GB2312"/>
          <w:color w:val="auto"/>
          <w:sz w:val="32"/>
          <w:szCs w:val="32"/>
          <w:shd w:val="clear" w:color="auto" w:fill="FFFFFF"/>
          <w:lang w:eastAsia="zh-CN"/>
        </w:rPr>
        <w:t>本报告所列数据的统计时限自202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市中区发改局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w:t>
      </w:r>
      <w:r>
        <w:rPr>
          <w:rFonts w:hint="eastAsia" w:eastAsia="仿宋_GB2312"/>
          <w:color w:val="auto"/>
          <w:sz w:val="32"/>
          <w:szCs w:val="32"/>
          <w:lang w:val="en-US" w:eastAsia="zh-CN"/>
        </w:rPr>
        <w:t>君山中路321</w:t>
      </w:r>
      <w:r>
        <w:rPr>
          <w:rFonts w:hint="eastAsia" w:eastAsia="仿宋_GB2312"/>
          <w:color w:val="auto"/>
          <w:sz w:val="32"/>
          <w:szCs w:val="32"/>
          <w:shd w:val="clear" w:color="auto" w:fill="FFFFFF"/>
          <w:lang w:val="en-US" w:eastAsia="zh-CN"/>
        </w:rPr>
        <w:t>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w:t>
      </w:r>
      <w:r>
        <w:rPr>
          <w:rFonts w:hint="eastAsia" w:eastAsia="仿宋_GB2312"/>
          <w:color w:val="auto"/>
          <w:sz w:val="32"/>
          <w:szCs w:val="32"/>
          <w:lang w:val="en-US" w:eastAsia="zh-CN"/>
        </w:rPr>
        <w:t>392453</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begin"/>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instrText xml:space="preserve"> HYPERLINK "mailto:htqzfzwgkk@wf.shandong.cn%E3%80%82" </w:instrTex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separate"/>
      </w:r>
      <w:r>
        <w:rPr>
          <w:rStyle w:val="6"/>
          <w:rFonts w:hint="eastAsia" w:ascii="Times New Roman" w:hAnsi="Times New Roman" w:eastAsia="仿宋_GB2312" w:cs="Times New Roman"/>
          <w:i w:val="0"/>
          <w:caps w:val="0"/>
          <w:color w:val="auto"/>
          <w:spacing w:val="0"/>
          <w:sz w:val="32"/>
          <w:szCs w:val="32"/>
          <w:u w:val="none"/>
          <w:shd w:val="clear" w:color="auto" w:fill="FFFFFF"/>
          <w:lang w:val="en-US" w:eastAsia="zh-CN"/>
        </w:rPr>
        <w:t>szqfgjgg</w:t>
      </w:r>
      <w:r>
        <w:rPr>
          <w:rStyle w:val="6"/>
          <w:rFonts w:hint="default" w:ascii="Times New Roman" w:hAnsi="Times New Roman" w:eastAsia="仿宋_GB2312" w:cs="Times New Roman"/>
          <w:i w:val="0"/>
          <w:caps w:val="0"/>
          <w:color w:val="auto"/>
          <w:spacing w:val="0"/>
          <w:sz w:val="32"/>
          <w:szCs w:val="32"/>
          <w:u w:val="none"/>
          <w:shd w:val="clear" w:color="auto" w:fill="FFFFFF"/>
        </w:rPr>
        <w:t>@zz.shandong.cn</w:t>
      </w:r>
      <w:r>
        <w:rPr>
          <w:rFonts w:hint="default" w:ascii="Times New Roman" w:hAnsi="Times New Roman" w:eastAsia="微软雅黑" w:cs="Times New Roman"/>
          <w:i w:val="0"/>
          <w:caps w:val="0"/>
          <w:color w:val="auto"/>
          <w:spacing w:val="8"/>
          <w:kern w:val="0"/>
          <w:sz w:val="24"/>
          <w:szCs w:val="24"/>
          <w:u w:val="none"/>
          <w:shd w:val="clear" w:color="auto" w:fill="FFFFFF"/>
          <w:lang w:val="en-US" w:eastAsia="zh-CN" w:bidi="ar"/>
        </w:rPr>
        <w:fldChar w:fldCharType="end"/>
      </w:r>
      <w:r>
        <w:rPr>
          <w:rFonts w:eastAsia="仿宋_GB2312"/>
          <w:color w:val="auto"/>
          <w:sz w:val="32"/>
          <w:szCs w:val="32"/>
          <w:shd w:val="clear" w:color="auto" w:fill="FFFFFF"/>
          <w:lang w:eastAsia="zh-CN"/>
        </w:rPr>
        <w:t>） 。</w:t>
      </w:r>
    </w:p>
    <w:p>
      <w:pPr>
        <w:keepNext w:val="0"/>
        <w:keepLines w:val="0"/>
        <w:pageBreakBefore w:val="0"/>
        <w:widowControl/>
        <w:kinsoku/>
        <w:wordWrap w:val="0"/>
        <w:overflowPunct/>
        <w:topLinePunct w:val="0"/>
        <w:autoSpaceDE/>
        <w:autoSpaceDN/>
        <w:bidi w:val="0"/>
        <w:adjustRightInd/>
        <w:snapToGrid/>
        <w:spacing w:line="560" w:lineRule="exact"/>
        <w:ind w:firstLine="643" w:firstLineChars="200"/>
        <w:contextualSpacing/>
        <w:jc w:val="right"/>
        <w:textAlignment w:val="auto"/>
        <w:rPr>
          <w:rFonts w:hint="default" w:eastAsia="仿宋_GB2312"/>
          <w:b/>
          <w:bCs/>
          <w:color w:val="auto"/>
          <w:sz w:val="32"/>
          <w:szCs w:val="32"/>
          <w:shd w:val="clear" w:color="auto" w:fill="FFFFFF"/>
          <w:lang w:val="en-US" w:eastAsia="zh-CN"/>
        </w:rPr>
      </w:pPr>
      <w:r>
        <w:rPr>
          <w:rFonts w:hint="eastAsia" w:eastAsia="仿宋_GB2312"/>
          <w:b/>
          <w:bCs/>
          <w:color w:val="auto"/>
          <w:sz w:val="32"/>
          <w:szCs w:val="32"/>
          <w:shd w:val="clear" w:color="auto" w:fill="FFFFFF"/>
          <w:lang w:val="en-US" w:eastAsia="zh-CN"/>
        </w:rPr>
        <w:t xml:space="preserve"> 市中区发展和改革局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val="en-US" w:eastAsia="zh-CN"/>
        </w:rPr>
        <w:t>2022年1月 11日</w:t>
      </w:r>
      <w:bookmarkEnd w:id="1"/>
    </w:p>
    <w:p>
      <w:pPr>
        <w:rPr>
          <w:rFonts w:hint="eastAsia" w:eastAsiaTheme="minorEastAsia"/>
          <w:color w:val="auto"/>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aBI8oBAAB5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1313180</wp:posOffset>
              </wp:positionH>
              <wp:positionV relativeFrom="page">
                <wp:posOffset>9942195</wp:posOffset>
              </wp:positionV>
              <wp:extent cx="7861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86130" cy="118745"/>
                      </a:xfrm>
                      <a:prstGeom prst="rect">
                        <a:avLst/>
                      </a:prstGeom>
                      <a:noFill/>
                      <a:ln>
                        <a:noFill/>
                      </a:ln>
                      <a:effectLst/>
                    </wps:spPr>
                    <wps:txbx>
                      <w:txbxContent>
                        <w:p>
                          <w:pPr>
                            <w:pStyle w:val="7"/>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wps:txbx>
                    <wps:bodyPr wrap="none" lIns="0" tIns="0" rIns="0" bIns="0">
                      <a:spAutoFit/>
                    </wps:bodyPr>
                  </wps:wsp>
                </a:graphicData>
              </a:graphic>
            </wp:anchor>
          </w:drawing>
        </mc:Choice>
        <mc:Fallback>
          <w:pict>
            <v:shape id="Shape 23" o:spid="_x0000_s1026" o:spt="202" type="#_x0000_t202" style="position:absolute;left:0pt;margin-left:103.4pt;margin-top:782.85pt;height:9.35pt;width:61.9pt;mso-position-horizontal-relative:page;mso-position-vertical-relative:page;mso-wrap-style:none;z-index:-251657216;mso-width-relative:page;mso-height-relative:page;" filled="f" stroked="f" coordsize="21600,21600" o:gfxdata="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QpuN2AAAAA0BAAAPAAAAAAAA&#10;AAEAIAAAACIAAABkcnMvZG93bnJldi54bWxQSwECFAAUAAAACACHTuJAcy/QQqABAABJAwAADgAA&#10;AAAAAAABACAAAAAnAQAAZHJzL2Uyb0RvYy54bWxQSwUGAAAAAAYABgBZAQAAOQUAAAAA&#10;">
              <v:fill on="f" focussize="0,0"/>
              <v:stroke on="f"/>
              <v:imagedata o:title=""/>
              <o:lock v:ext="edit" aspectratio="f"/>
              <v:textbox inset="0mm,0mm,0mm,0mm" style="mso-fit-shape-to-text:t;">
                <w:txbxContent>
                  <w:p>
                    <w:pPr>
                      <w:pStyle w:val="7"/>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69"/>
    <w:rsid w:val="00081823"/>
    <w:rsid w:val="00112B69"/>
    <w:rsid w:val="005A70FF"/>
    <w:rsid w:val="00B03096"/>
    <w:rsid w:val="00F0539A"/>
    <w:rsid w:val="01B92F67"/>
    <w:rsid w:val="021D046B"/>
    <w:rsid w:val="025E0CC2"/>
    <w:rsid w:val="035B1590"/>
    <w:rsid w:val="058D1393"/>
    <w:rsid w:val="062358E3"/>
    <w:rsid w:val="0A3E1141"/>
    <w:rsid w:val="0B617983"/>
    <w:rsid w:val="0B8F2AB2"/>
    <w:rsid w:val="0BA56E4B"/>
    <w:rsid w:val="0ED44887"/>
    <w:rsid w:val="0F4A2149"/>
    <w:rsid w:val="101A475B"/>
    <w:rsid w:val="121E59FF"/>
    <w:rsid w:val="15055EA6"/>
    <w:rsid w:val="154B1196"/>
    <w:rsid w:val="156734F6"/>
    <w:rsid w:val="176B56C4"/>
    <w:rsid w:val="1AAF71B2"/>
    <w:rsid w:val="1D276D79"/>
    <w:rsid w:val="2007106B"/>
    <w:rsid w:val="228B1C92"/>
    <w:rsid w:val="229608B0"/>
    <w:rsid w:val="24B65C7B"/>
    <w:rsid w:val="271F6DB2"/>
    <w:rsid w:val="28BE4FD8"/>
    <w:rsid w:val="2A366FA5"/>
    <w:rsid w:val="2B247393"/>
    <w:rsid w:val="2B7E7F7A"/>
    <w:rsid w:val="2D60626C"/>
    <w:rsid w:val="2E5D4D3D"/>
    <w:rsid w:val="2F4F35D8"/>
    <w:rsid w:val="30BF1B54"/>
    <w:rsid w:val="34C27E73"/>
    <w:rsid w:val="366C338B"/>
    <w:rsid w:val="372B44B7"/>
    <w:rsid w:val="37D00CEA"/>
    <w:rsid w:val="37DD4F2A"/>
    <w:rsid w:val="38AF7523"/>
    <w:rsid w:val="39B30982"/>
    <w:rsid w:val="3CA63654"/>
    <w:rsid w:val="41127A2A"/>
    <w:rsid w:val="414E7730"/>
    <w:rsid w:val="424E6C95"/>
    <w:rsid w:val="446656F5"/>
    <w:rsid w:val="447432E6"/>
    <w:rsid w:val="47747EDE"/>
    <w:rsid w:val="4A263FB9"/>
    <w:rsid w:val="4B2226AC"/>
    <w:rsid w:val="4EB967E0"/>
    <w:rsid w:val="4F735DB5"/>
    <w:rsid w:val="4F8A4186"/>
    <w:rsid w:val="4FB4331A"/>
    <w:rsid w:val="51593808"/>
    <w:rsid w:val="515D5F02"/>
    <w:rsid w:val="540D298B"/>
    <w:rsid w:val="551B7DA9"/>
    <w:rsid w:val="5A891C07"/>
    <w:rsid w:val="5AE6494C"/>
    <w:rsid w:val="5E897294"/>
    <w:rsid w:val="5E9751CF"/>
    <w:rsid w:val="5EA95810"/>
    <w:rsid w:val="603E3040"/>
    <w:rsid w:val="60E96189"/>
    <w:rsid w:val="62A02DE5"/>
    <w:rsid w:val="62DF0CAC"/>
    <w:rsid w:val="64486853"/>
    <w:rsid w:val="64490C92"/>
    <w:rsid w:val="6AE54220"/>
    <w:rsid w:val="6B4B0CF4"/>
    <w:rsid w:val="6F0B17EF"/>
    <w:rsid w:val="71430FAD"/>
    <w:rsid w:val="71510E85"/>
    <w:rsid w:val="71525AFF"/>
    <w:rsid w:val="728A7144"/>
    <w:rsid w:val="72BB477E"/>
    <w:rsid w:val="743334DA"/>
    <w:rsid w:val="754C48A1"/>
    <w:rsid w:val="759479DC"/>
    <w:rsid w:val="7D726BF8"/>
    <w:rsid w:val="7F2D68BD"/>
    <w:rsid w:val="7F7C37A3"/>
    <w:rsid w:val="7FF4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pPr>
    <w:rPr>
      <w:rFonts w:ascii="宋体" w:hAnsi="宋体" w:cs="宋体"/>
    </w:rPr>
  </w:style>
  <w:style w:type="character" w:styleId="6">
    <w:name w:val="Hyperlink"/>
    <w:basedOn w:val="5"/>
    <w:semiHidden/>
    <w:unhideWhenUsed/>
    <w:qFormat/>
    <w:uiPriority w:val="99"/>
    <w:rPr>
      <w:color w:val="0000FF"/>
      <w:u w:val="single"/>
    </w:rPr>
  </w:style>
  <w:style w:type="paragraph" w:customStyle="1" w:styleId="7">
    <w:name w:val="Header or footer|1"/>
    <w:basedOn w:val="1"/>
    <w:qFormat/>
    <w:uiPriority w:val="0"/>
    <w:rPr>
      <w:sz w:val="26"/>
      <w:szCs w:val="26"/>
      <w:lang w:val="zh-TW" w:eastAsia="zh-TW" w:bidi="zh-TW"/>
    </w:rPr>
  </w:style>
  <w:style w:type="paragraph" w:customStyle="1" w:styleId="8">
    <w:name w:val="Other|2"/>
    <w:basedOn w:val="1"/>
    <w:qFormat/>
    <w:uiPriority w:val="0"/>
    <w:pPr>
      <w:spacing w:before="90"/>
      <w:jc w:val="center"/>
    </w:pPr>
    <w:rPr>
      <w:rFonts w:ascii="宋体" w:hAnsi="宋体" w:eastAsia="宋体" w:cs="宋体"/>
      <w:sz w:val="20"/>
      <w:szCs w:val="20"/>
      <w:lang w:val="zh-TW" w:eastAsia="zh-TW" w:bidi="zh-TW"/>
    </w:rPr>
  </w:style>
  <w:style w:type="paragraph" w:customStyle="1" w:styleId="9">
    <w:name w:val="Body text|1"/>
    <w:basedOn w:val="1"/>
    <w:qFormat/>
    <w:uiPriority w:val="0"/>
    <w:pPr>
      <w:spacing w:line="593" w:lineRule="exact"/>
      <w:ind w:firstLine="610"/>
    </w:pPr>
    <w:rPr>
      <w:rFonts w:ascii="宋体" w:hAnsi="宋体" w:eastAsia="宋体" w:cs="宋体"/>
      <w:sz w:val="26"/>
      <w:szCs w:val="26"/>
      <w:lang w:val="zh-TW" w:eastAsia="zh-TW" w:bidi="zh-TW"/>
    </w:rPr>
  </w:style>
  <w:style w:type="paragraph" w:customStyle="1" w:styleId="10">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1131</Words>
  <Characters>6452</Characters>
  <Lines>53</Lines>
  <Paragraphs>15</Paragraphs>
  <TotalTime>8</TotalTime>
  <ScaleCrop>false</ScaleCrop>
  <LinksUpToDate>false</LinksUpToDate>
  <CharactersWithSpaces>7568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2021-11-02T01:59:00Z</dcterms:created>
  <dc:creator>p</dc:creator>
  <cp:lastModifiedBy>lenovo</cp:lastModifiedBy>
  <cp:lastPrinted>2021-11-02T02:00:00Z</cp:lastPrinted>
  <dcterms:modified xsi:type="dcterms:W3CDTF">2022-01-20T06:37:28Z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01204E46267F422C867B4743DA4C4530</vt:lpwstr>
  </property>
</Properties>
</file>