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市中区</w:t>
      </w:r>
      <w:r>
        <w:rPr>
          <w:rFonts w:hint="default" w:ascii="Times New Roman" w:hAnsi="Times New Roman" w:eastAsia="方正小标宋简体" w:cs="Times New Roman"/>
          <w:color w:val="auto"/>
          <w:sz w:val="44"/>
          <w:szCs w:val="44"/>
          <w:lang w:eastAsia="zh-CN"/>
        </w:rPr>
        <w:t>地方金融监督管理局</w:t>
      </w:r>
    </w:p>
    <w:p>
      <w:pPr>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202</w:t>
      </w:r>
      <w:r>
        <w:rPr>
          <w:rFonts w:hint="eastAsia" w:ascii="方正小标宋简体" w:eastAsia="方正小标宋简体"/>
          <w:color w:val="auto"/>
          <w:sz w:val="44"/>
          <w:szCs w:val="44"/>
          <w:lang w:val="en-US" w:eastAsia="zh-CN"/>
        </w:rPr>
        <w:t>1</w:t>
      </w:r>
      <w:r>
        <w:rPr>
          <w:rFonts w:hint="eastAsia" w:ascii="方正小标宋简体" w:hAnsi="方正小标宋简体" w:eastAsia="方正小标宋简体"/>
          <w:color w:val="auto"/>
          <w:sz w:val="44"/>
          <w:szCs w:val="44"/>
          <w:lang w:eastAsia="zh-CN"/>
        </w:rPr>
        <w:t>年政府信息公开工作年度报告</w:t>
      </w:r>
    </w:p>
    <w:p>
      <w:pPr>
        <w:ind w:firstLine="640" w:firstLineChars="200"/>
        <w:rPr>
          <w:rFonts w:eastAsia="黑体"/>
          <w:color w:val="auto"/>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仿宋_GB2312"/>
          <w:color w:val="auto"/>
          <w:sz w:val="32"/>
          <w:szCs w:val="32"/>
          <w:shd w:val="clear" w:color="auto" w:fill="FFFFFF"/>
          <w:lang w:eastAsia="zh-CN"/>
        </w:rPr>
      </w:pPr>
      <w:r>
        <w:rPr>
          <w:rFonts w:eastAsia="仿宋_GB2312"/>
          <w:color w:val="auto"/>
          <w:sz w:val="32"/>
          <w:szCs w:val="32"/>
          <w:shd w:val="clear" w:color="auto" w:fill="FFFFFF"/>
          <w:lang w:eastAsia="zh-CN"/>
        </w:rPr>
        <w:t>根据《中华人民共和国政府信息公开条例》、《</w:t>
      </w:r>
      <w:r>
        <w:rPr>
          <w:rFonts w:hint="eastAsia" w:eastAsia="仿宋_GB2312"/>
          <w:color w:val="auto"/>
          <w:sz w:val="32"/>
          <w:szCs w:val="32"/>
          <w:shd w:val="clear" w:color="auto" w:fill="FFFFFF"/>
          <w:lang w:eastAsia="zh-CN"/>
        </w:rPr>
        <w:t>国务院办公厅政府信息与政务公开办公室关于印发</w:t>
      </w:r>
      <w:r>
        <w:rPr>
          <w:rFonts w:hint="eastAsia" w:eastAsia="仿宋_GB2312"/>
          <w:color w:val="auto"/>
          <w:sz w:val="32"/>
          <w:szCs w:val="32"/>
          <w:shd w:val="clear" w:color="auto" w:fill="FFFFFF"/>
          <w:lang w:val="en-US" w:eastAsia="zh-CN"/>
        </w:rPr>
        <w:t>&lt;</w:t>
      </w:r>
      <w:r>
        <w:rPr>
          <w:rFonts w:hint="eastAsia" w:eastAsia="仿宋_GB2312"/>
          <w:color w:val="auto"/>
          <w:sz w:val="32"/>
          <w:szCs w:val="32"/>
          <w:shd w:val="clear" w:color="auto" w:fill="FFFFFF"/>
          <w:lang w:eastAsia="zh-CN"/>
        </w:rPr>
        <w:t>中华人民共和国政府信息公开工作年度报告格式</w:t>
      </w:r>
      <w:r>
        <w:rPr>
          <w:rFonts w:hint="eastAsia" w:eastAsia="仿宋_GB2312"/>
          <w:color w:val="auto"/>
          <w:sz w:val="32"/>
          <w:szCs w:val="32"/>
          <w:shd w:val="clear" w:color="auto" w:fill="FFFFFF"/>
          <w:lang w:val="en-US" w:eastAsia="zh-CN"/>
        </w:rPr>
        <w:t>&gt;</w:t>
      </w:r>
      <w:r>
        <w:rPr>
          <w:rFonts w:hint="eastAsia" w:eastAsia="仿宋_GB2312"/>
          <w:color w:val="auto"/>
          <w:sz w:val="32"/>
          <w:szCs w:val="32"/>
          <w:shd w:val="clear" w:color="auto" w:fill="FFFFFF"/>
          <w:lang w:eastAsia="zh-CN"/>
        </w:rPr>
        <w:t>的通知</w:t>
      </w:r>
      <w:r>
        <w:rPr>
          <w:rFonts w:eastAsia="仿宋_GB2312"/>
          <w:color w:val="auto"/>
          <w:sz w:val="32"/>
          <w:szCs w:val="32"/>
          <w:shd w:val="clear" w:color="auto" w:fill="FFFFFF"/>
          <w:lang w:eastAsia="zh-CN"/>
        </w:rPr>
        <w:t>》（国办公开办函〔20</w:t>
      </w:r>
      <w:r>
        <w:rPr>
          <w:rFonts w:hint="eastAsia" w:eastAsia="仿宋_GB2312"/>
          <w:color w:val="auto"/>
          <w:sz w:val="32"/>
          <w:szCs w:val="32"/>
          <w:shd w:val="clear" w:color="auto" w:fill="FFFFFF"/>
          <w:lang w:val="en-US" w:eastAsia="zh-CN"/>
        </w:rPr>
        <w:t>21</w:t>
      </w:r>
      <w:r>
        <w:rPr>
          <w:rFonts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30</w:t>
      </w:r>
      <w:r>
        <w:rPr>
          <w:rFonts w:eastAsia="仿宋_GB2312"/>
          <w:color w:val="auto"/>
          <w:sz w:val="32"/>
          <w:szCs w:val="32"/>
          <w:shd w:val="clear" w:color="auto" w:fill="FFFFFF"/>
          <w:lang w:eastAsia="zh-CN"/>
        </w:rPr>
        <w:t>号）和省、</w:t>
      </w:r>
      <w:r>
        <w:rPr>
          <w:rFonts w:hint="eastAsia" w:eastAsia="仿宋_GB2312"/>
          <w:color w:val="auto"/>
          <w:sz w:val="32"/>
          <w:szCs w:val="32"/>
          <w:shd w:val="clear" w:color="auto" w:fill="FFFFFF"/>
          <w:lang w:val="en-US" w:eastAsia="zh-CN"/>
        </w:rPr>
        <w:t>市</w:t>
      </w:r>
      <w:r>
        <w:rPr>
          <w:rFonts w:eastAsia="仿宋_GB2312"/>
          <w:color w:val="auto"/>
          <w:sz w:val="32"/>
          <w:szCs w:val="32"/>
          <w:shd w:val="clear" w:color="auto" w:fill="FFFFFF"/>
          <w:lang w:eastAsia="zh-CN"/>
        </w:rPr>
        <w:t>有关工作要求，编制本报告并向社会公开。本年度报告电子版可从</w:t>
      </w:r>
      <w:r>
        <w:rPr>
          <w:rFonts w:hint="eastAsia" w:eastAsia="仿宋_GB2312"/>
          <w:color w:val="auto"/>
          <w:sz w:val="32"/>
          <w:szCs w:val="32"/>
          <w:shd w:val="clear" w:color="auto" w:fill="FFFFFF"/>
          <w:lang w:val="en-US" w:eastAsia="zh-CN"/>
        </w:rPr>
        <w:t>市中区</w:t>
      </w:r>
      <w:r>
        <w:rPr>
          <w:rFonts w:eastAsia="仿宋_GB2312"/>
          <w:color w:val="auto"/>
          <w:sz w:val="32"/>
          <w:szCs w:val="32"/>
          <w:shd w:val="clear" w:color="auto" w:fill="FFFFFF"/>
          <w:lang w:eastAsia="zh-CN"/>
        </w:rPr>
        <w:t>人民政府门户网</w:t>
      </w:r>
      <w:r>
        <w:rPr>
          <w:rFonts w:hint="eastAsia"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http://www.zzszq.gov.cn/</w:t>
      </w:r>
      <w:r>
        <w:rPr>
          <w:rFonts w:eastAsia="仿宋_GB2312"/>
          <w:color w:val="auto"/>
          <w:sz w:val="32"/>
          <w:szCs w:val="32"/>
          <w:shd w:val="clear" w:color="auto" w:fill="FFFFFF"/>
          <w:lang w:eastAsia="zh-CN"/>
        </w:rPr>
        <w:t>）查阅或下载。本报告所列数据的统计</w:t>
      </w:r>
      <w:r>
        <w:rPr>
          <w:rFonts w:hint="eastAsia" w:eastAsia="仿宋_GB2312"/>
          <w:color w:val="auto"/>
          <w:sz w:val="32"/>
          <w:szCs w:val="32"/>
          <w:shd w:val="clear" w:color="auto" w:fill="FFFFFF"/>
          <w:lang w:val="en-US" w:eastAsia="zh-CN"/>
        </w:rPr>
        <w:t>期</w:t>
      </w:r>
      <w:r>
        <w:rPr>
          <w:rFonts w:eastAsia="仿宋_GB2312"/>
          <w:color w:val="auto"/>
          <w:sz w:val="32"/>
          <w:szCs w:val="32"/>
          <w:shd w:val="clear" w:color="auto" w:fill="FFFFFF"/>
          <w:lang w:eastAsia="zh-CN"/>
        </w:rPr>
        <w:t>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市中区地方金融监管局</w:t>
      </w:r>
      <w:r>
        <w:rPr>
          <w:rFonts w:eastAsia="仿宋_GB2312"/>
          <w:color w:val="auto"/>
          <w:sz w:val="32"/>
          <w:szCs w:val="32"/>
          <w:shd w:val="clear" w:color="auto" w:fill="FFFFFF"/>
          <w:lang w:eastAsia="zh-CN"/>
        </w:rPr>
        <w:t>联系</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lang w:eastAsia="zh-CN"/>
        </w:rPr>
        <w:t>（地址:</w:t>
      </w:r>
      <w:r>
        <w:rPr>
          <w:rFonts w:hint="eastAsia" w:eastAsia="仿宋_GB2312"/>
          <w:color w:val="auto"/>
          <w:sz w:val="32"/>
          <w:szCs w:val="32"/>
          <w:shd w:val="clear" w:color="auto" w:fill="FFFFFF"/>
          <w:lang w:val="en-US" w:eastAsia="zh-CN"/>
        </w:rPr>
        <w:t>枣庄市市中区光明中路68号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0632-8023196</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fldChar w:fldCharType="begin"/>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instrText xml:space="preserve"> HYPERLINK "mailto:zzsszqjrgzbgs@zz.shandong.cn" </w:instrTex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fldChar w:fldCharType="separate"/>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zzsszqjrgzbgs@zz.shandong.cn</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fldChar w:fldCharType="end"/>
      </w:r>
      <w:r>
        <w:rPr>
          <w:rFonts w:eastAsia="仿宋_GB2312"/>
          <w:color w:val="auto"/>
          <w:sz w:val="32"/>
          <w:szCs w:val="32"/>
          <w:shd w:val="clear" w:color="auto" w:fill="FFFFFF"/>
          <w:lang w:eastAsia="zh-CN"/>
        </w:rPr>
        <w:t> </w:t>
      </w:r>
      <w:r>
        <w:rPr>
          <w:rFonts w:hint="eastAsia" w:eastAsia="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shd w:val="clear" w:color="auto" w:fill="FFFFFF"/>
          <w:lang w:eastAsia="zh-CN"/>
        </w:rPr>
      </w:pPr>
      <w:r>
        <w:rPr>
          <w:rFonts w:eastAsia="黑体"/>
          <w:color w:val="auto"/>
          <w:sz w:val="32"/>
          <w:szCs w:val="32"/>
          <w:shd w:val="clear" w:color="auto" w:fill="FFFFFF"/>
          <w:lang w:eastAsia="zh-CN"/>
        </w:rPr>
        <w:t>—</w:t>
      </w:r>
      <w:r>
        <w:rPr>
          <w:rFonts w:hAnsi="黑体" w:eastAsia="黑体"/>
          <w:color w:val="auto"/>
          <w:sz w:val="32"/>
          <w:szCs w:val="32"/>
          <w:shd w:val="clear" w:color="auto" w:fill="FFFFFF"/>
          <w:lang w:eastAsia="zh-CN"/>
        </w:rPr>
        <w:t>、总体情况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default" w:hAnsi="黑体" w:eastAsia="黑体"/>
          <w:bCs/>
          <w:color w:val="auto"/>
          <w:sz w:val="32"/>
          <w:szCs w:val="32"/>
          <w:lang w:val="en-US" w:eastAsia="zh-CN"/>
        </w:rPr>
      </w:pPr>
      <w:r>
        <w:rPr>
          <w:rFonts w:hint="eastAsia" w:ascii="仿宋_GB2312" w:hAnsi="仿宋_GB2312" w:eastAsia="仿宋_GB2312" w:cs="仿宋_GB2312"/>
          <w:bCs/>
          <w:color w:val="auto"/>
          <w:sz w:val="32"/>
          <w:szCs w:val="32"/>
          <w:lang w:val="en-US" w:eastAsia="zh-CN"/>
        </w:rPr>
        <w:t>2021年，区地方金融监管局认真贯彻落实党中央、国务院和省、市、区关于政府信息公开工作的部署要求，进一步调整优化公开目录，深入拓展公开渠道，持续丰富公开形式，及时回应社会关切，不断提升政府信息公开工作力度和实效，全面深化政务公开，持续规范推进政府信息公开，以公开促落实、促规范、促服务，有效促进了政务公开工作的常态化、规范化、标准化水平，政府信息公开水平实现新的突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（一）主动公开情况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主动公开信息65条，其中在政府门户网站公开22条，政务新媒体公开12条，其他渠道公开31条。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（二）依申请公开办理情况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共受理政府信息公开申请</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件，其中予以公开申请</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件，部分公开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件，无法提供</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件，不予处理</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件，均在法定期限内予以答复。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color w:val="auto"/>
          <w:sz w:val="32"/>
          <w:szCs w:val="32"/>
          <w:lang w:eastAsia="zh-CN"/>
        </w:rPr>
      </w:pPr>
      <w:r>
        <w:rPr>
          <w:rFonts w:hint="eastAsia" w:ascii="仿宋_GB2312" w:eastAsia="仿宋_GB2312"/>
          <w:color w:val="auto"/>
          <w:sz w:val="32"/>
          <w:szCs w:val="32"/>
          <w:shd w:val="clear" w:color="auto" w:fill="FFFFFF"/>
          <w:lang w:eastAsia="zh-CN"/>
        </w:rPr>
        <w:t>因政府信息公开被申请行政复议</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件，因公民、法人和其他组织认为行政机关政府信息公开工作具体行政行为侵犯其合法权益，提起行政诉讼</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hAnsi="黑体" w:eastAsia="黑体"/>
          <w:bCs/>
          <w:color w:val="auto"/>
          <w:sz w:val="32"/>
          <w:szCs w:val="32"/>
          <w:lang w:eastAsia="zh-CN"/>
        </w:rPr>
        <w:t>（三）政府信息管理情况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shd w:val="clear" w:color="auto" w:fill="FFFFFF"/>
          <w:lang w:eastAsia="zh-CN"/>
        </w:rPr>
      </w:pPr>
      <w:r>
        <w:rPr>
          <w:rFonts w:hint="eastAsia" w:eastAsia="仿宋_GB2312"/>
          <w:color w:val="auto"/>
          <w:sz w:val="32"/>
          <w:szCs w:val="32"/>
          <w:shd w:val="clear" w:color="auto" w:fill="FFFFFF"/>
          <w:lang w:eastAsia="zh-CN"/>
        </w:rPr>
        <w:t>一是完善信息公开管理流程。建立政府信息公开工作全流程管理机制，安排专人负责信息公开传送和平台管理。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shd w:val="clear" w:color="auto" w:fill="FFFFFF"/>
          <w:lang w:eastAsia="zh-CN"/>
        </w:rPr>
      </w:pPr>
      <w:r>
        <w:rPr>
          <w:rFonts w:hint="eastAsia" w:eastAsia="仿宋_GB2312"/>
          <w:color w:val="auto"/>
          <w:sz w:val="32"/>
          <w:szCs w:val="32"/>
          <w:shd w:val="clear" w:color="auto" w:fill="FFFFFF"/>
          <w:lang w:eastAsia="zh-CN"/>
        </w:rPr>
        <w:t>二是严格做好公开信息保密审查。认真落实《中华人民共和国保守国家秘密法》《中华人民共和国政府信息公开条例》等规定，按照“先审查、后公开”的原则，严格做好政府信息公开保密审查，确保公开信息不涉密、涉密信息不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bidi="ar-SA"/>
        </w:rPr>
      </w:pPr>
      <w:r>
        <w:rPr>
          <w:rFonts w:hint="eastAsia" w:eastAsia="仿宋_GB2312"/>
          <w:color w:val="auto"/>
          <w:sz w:val="32"/>
          <w:szCs w:val="32"/>
          <w:shd w:val="clear" w:color="auto" w:fill="FFFFFF"/>
          <w:lang w:eastAsia="zh-CN"/>
        </w:rPr>
        <w:t>三是不断完善公开制度机制。202</w:t>
      </w:r>
      <w:r>
        <w:rPr>
          <w:rFonts w:hint="eastAsia" w:eastAsia="仿宋_GB2312"/>
          <w:color w:val="auto"/>
          <w:sz w:val="32"/>
          <w:szCs w:val="32"/>
          <w:shd w:val="clear" w:color="auto" w:fill="FFFFFF"/>
          <w:lang w:val="en-US" w:eastAsia="zh-CN"/>
        </w:rPr>
        <w:t>1</w:t>
      </w:r>
      <w:r>
        <w:rPr>
          <w:rFonts w:hint="eastAsia" w:eastAsia="仿宋_GB2312"/>
          <w:color w:val="auto"/>
          <w:sz w:val="32"/>
          <w:szCs w:val="32"/>
          <w:shd w:val="clear" w:color="auto" w:fill="FFFFFF"/>
          <w:lang w:eastAsia="zh-CN"/>
        </w:rPr>
        <w:t>年，全面落实“以公开为常态、不公开为例外”要求，主动、及时、规范、准确公开应当公开的政府信息，切实做到应公开尽公开，不断提升公开常态化、规范化、标准化水平。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eastAsia="黑体"/>
          <w:bCs/>
          <w:color w:val="auto"/>
          <w:sz w:val="32"/>
          <w:szCs w:val="32"/>
          <w:lang w:eastAsia="zh-CN"/>
        </w:rPr>
        <w:t>（四）平台建设情况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eastAsia="仿宋_GB2312"/>
          <w:color w:val="auto"/>
          <w:sz w:val="32"/>
          <w:szCs w:val="32"/>
          <w:lang w:eastAsia="zh-CN" w:bidi="ar-SA"/>
        </w:rPr>
      </w:pPr>
      <w:r>
        <w:rPr>
          <w:rFonts w:eastAsia="仿宋_GB2312"/>
          <w:color w:val="auto"/>
          <w:sz w:val="32"/>
          <w:szCs w:val="32"/>
          <w:shd w:val="clear" w:color="auto" w:fill="FFFFFF"/>
          <w:lang w:eastAsia="zh-CN"/>
        </w:rPr>
        <w:t>依托“政府网站”</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政务新媒体</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lang w:eastAsia="zh-CN"/>
        </w:rPr>
        <w:t>等平台发布信息，推动政务公开信息向不同群体精准推送，提升群众获取政府信息的便利度和幸福感。</w:t>
      </w:r>
      <w:r>
        <w:rPr>
          <w:rFonts w:eastAsia="仿宋_GB2312"/>
          <w:color w:val="auto"/>
          <w:sz w:val="32"/>
          <w:szCs w:val="32"/>
          <w:lang w:eastAsia="zh-CN" w:bidi="ar-SA"/>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eastAsia" w:hAnsi="黑体" w:eastAsia="黑体"/>
          <w:color w:val="auto"/>
          <w:sz w:val="32"/>
          <w:szCs w:val="32"/>
          <w:lang w:eastAsia="zh-CN" w:bidi="ar-SA"/>
        </w:rPr>
      </w:pPr>
      <w:r>
        <w:rPr>
          <w:rFonts w:hAnsi="黑体" w:eastAsia="黑体"/>
          <w:color w:val="auto"/>
          <w:sz w:val="32"/>
          <w:szCs w:val="32"/>
          <w:lang w:eastAsia="zh-CN" w:bidi="ar-SA"/>
        </w:rPr>
        <w:t>（五）监督保障方面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Times New Roman" w:hAnsi="Times New Roman" w:eastAsia="仿宋_GB2312" w:cs="Times New Roman"/>
          <w:color w:val="auto"/>
          <w:sz w:val="32"/>
          <w:szCs w:val="32"/>
          <w:lang w:eastAsia="zh-CN" w:bidi="ar-SA"/>
        </w:rPr>
      </w:pPr>
      <w:r>
        <w:rPr>
          <w:rFonts w:hint="eastAsia" w:ascii="Times New Roman" w:hAnsi="Times New Roman" w:eastAsia="仿宋_GB2312" w:cs="Times New Roman"/>
          <w:color w:val="auto"/>
          <w:sz w:val="32"/>
          <w:szCs w:val="32"/>
          <w:lang w:val="en-US" w:eastAsia="zh-CN" w:bidi="ar-SA"/>
        </w:rPr>
        <w:t>无</w:t>
      </w:r>
    </w:p>
    <w:p>
      <w:pPr>
        <w:pStyle w:val="10"/>
        <w:keepNext w:val="0"/>
        <w:keepLines w:val="0"/>
        <w:pageBreakBefore w:val="0"/>
        <w:numPr>
          <w:ilvl w:val="0"/>
          <w:numId w:val="1"/>
        </w:numPr>
        <w:kinsoku/>
        <w:wordWrap/>
        <w:overflowPunct/>
        <w:topLinePunct w:val="0"/>
        <w:autoSpaceDE/>
        <w:autoSpaceDN/>
        <w:bidi w:val="0"/>
        <w:adjustRightInd/>
        <w:snapToGrid/>
        <w:spacing w:line="560" w:lineRule="exact"/>
        <w:ind w:firstLine="580"/>
        <w:textAlignment w:val="auto"/>
        <w:rPr>
          <w:rFonts w:ascii="Times New Roman" w:hAnsi="黑体" w:eastAsia="黑体" w:cs="Times New Roman"/>
          <w:bCs/>
          <w:color w:val="auto"/>
          <w:sz w:val="32"/>
          <w:szCs w:val="32"/>
        </w:rPr>
      </w:pPr>
      <w:r>
        <w:rPr>
          <w:rFonts w:ascii="Times New Roman" w:hAnsi="黑体" w:eastAsia="黑体" w:cs="Times New Roman"/>
          <w:bCs/>
          <w:color w:val="auto"/>
          <w:sz w:val="32"/>
          <w:szCs w:val="32"/>
        </w:rPr>
        <w:t>主动公开政府信息情况</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ascii="Times New Roman" w:hAnsi="黑体" w:eastAsia="黑体" w:cs="Times New Roman"/>
          <w:bCs/>
          <w:color w:val="auto"/>
          <w:sz w:val="32"/>
          <w:szCs w:val="32"/>
        </w:rPr>
      </w:pPr>
    </w:p>
    <w:tbl>
      <w:tblPr>
        <w:tblStyle w:val="5"/>
        <w:tblW w:w="8722" w:type="dxa"/>
        <w:jc w:val="center"/>
        <w:tblInd w:w="0" w:type="dxa"/>
        <w:tblLayout w:type="fixed"/>
        <w:tblCellMar>
          <w:top w:w="0" w:type="dxa"/>
          <w:left w:w="10" w:type="dxa"/>
          <w:bottom w:w="0" w:type="dxa"/>
          <w:right w:w="10" w:type="dxa"/>
        </w:tblCellMar>
      </w:tblPr>
      <w:tblGrid>
        <w:gridCol w:w="3115"/>
        <w:gridCol w:w="2146"/>
        <w:gridCol w:w="1610"/>
        <w:gridCol w:w="1851"/>
      </w:tblGrid>
      <w:tr>
        <w:tblPrEx>
          <w:tblLayout w:type="fixed"/>
          <w:tblCellMar>
            <w:top w:w="0" w:type="dxa"/>
            <w:left w:w="10" w:type="dxa"/>
            <w:bottom w:w="0" w:type="dxa"/>
            <w:right w:w="10" w:type="dxa"/>
          </w:tblCellMar>
        </w:tblPrEx>
        <w:trPr>
          <w:trHeight w:val="581" w:hRule="exact"/>
          <w:jc w:val="center"/>
        </w:trPr>
        <w:tc>
          <w:tcPr>
            <w:tcW w:w="8722" w:type="dxa"/>
            <w:gridSpan w:val="4"/>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第二十条第（一）项</w:t>
            </w:r>
          </w:p>
        </w:tc>
      </w:tr>
      <w:tr>
        <w:tblPrEx>
          <w:tblLayout w:type="fixed"/>
          <w:tblCellMar>
            <w:top w:w="0" w:type="dxa"/>
            <w:left w:w="10" w:type="dxa"/>
            <w:bottom w:w="0" w:type="dxa"/>
            <w:right w:w="10" w:type="dxa"/>
          </w:tblCellMar>
        </w:tblPrEx>
        <w:trPr>
          <w:trHeight w:val="566" w:hRule="exact"/>
          <w:jc w:val="center"/>
        </w:trPr>
        <w:tc>
          <w:tcPr>
            <w:tcW w:w="3115"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本年新制作数量</w:t>
            </w:r>
          </w:p>
        </w:tc>
        <w:tc>
          <w:tcPr>
            <w:tcW w:w="1610"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本年新公开数量</w:t>
            </w:r>
          </w:p>
        </w:tc>
        <w:tc>
          <w:tcPr>
            <w:tcW w:w="1851" w:type="dxa"/>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对外公开总数量</w:t>
            </w:r>
          </w:p>
        </w:tc>
      </w:tr>
      <w:tr>
        <w:tblPrEx>
          <w:tblLayout w:type="fixed"/>
          <w:tblCellMar>
            <w:top w:w="0" w:type="dxa"/>
            <w:left w:w="10" w:type="dxa"/>
            <w:bottom w:w="0" w:type="dxa"/>
            <w:right w:w="10" w:type="dxa"/>
          </w:tblCellMar>
        </w:tblPrEx>
        <w:trPr>
          <w:trHeight w:val="446"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规章</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规范性文件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第二十条第（五）项</w:t>
            </w:r>
          </w:p>
        </w:tc>
      </w:tr>
      <w:tr>
        <w:tblPrEx>
          <w:tblLayout w:type="fixed"/>
          <w:tblCellMar>
            <w:top w:w="0" w:type="dxa"/>
            <w:left w:w="10" w:type="dxa"/>
            <w:bottom w:w="0" w:type="dxa"/>
            <w:right w:w="10" w:type="dxa"/>
          </w:tblCellMar>
        </w:tblPrEx>
        <w:trPr>
          <w:trHeight w:val="562" w:hRule="exact"/>
          <w:jc w:val="center"/>
        </w:trPr>
        <w:tc>
          <w:tcPr>
            <w:tcW w:w="3115"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61"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行政许可</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其他对外管理服务事项</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7</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第二十条第（六）项</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行政处罚</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19</w:t>
            </w:r>
            <w:bookmarkStart w:id="1" w:name="_GoBack"/>
            <w:bookmarkEnd w:id="1"/>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增13</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行政强制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第二十条第（八）项</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3461" w:type="dxa"/>
            <w:gridSpan w:val="2"/>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行政事业性收费</w:t>
            </w:r>
          </w:p>
        </w:tc>
        <w:tc>
          <w:tcPr>
            <w:tcW w:w="214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34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sz w:val="2"/>
          <w:szCs w:val="2"/>
        </w:rPr>
      </w:pPr>
      <w:r>
        <w:rPr>
          <w:color w:val="auto"/>
        </w:rPr>
        <w:br w:type="page"/>
      </w:r>
    </w:p>
    <w:p>
      <w:pPr>
        <w:pStyle w:val="10"/>
        <w:keepNext w:val="0"/>
        <w:keepLines w:val="0"/>
        <w:pageBreakBefore w:val="0"/>
        <w:kinsoku/>
        <w:wordWrap/>
        <w:overflowPunct/>
        <w:topLinePunct w:val="0"/>
        <w:autoSpaceDE/>
        <w:autoSpaceDN/>
        <w:bidi w:val="0"/>
        <w:adjustRightInd/>
        <w:snapToGrid/>
        <w:spacing w:line="560" w:lineRule="exact"/>
        <w:ind w:firstLine="600"/>
        <w:textAlignment w:val="auto"/>
        <w:rPr>
          <w:rFonts w:ascii="Times New Roman" w:hAnsi="Times New Roman" w:eastAsia="黑体" w:cs="Times New Roman"/>
          <w:color w:val="auto"/>
          <w:sz w:val="32"/>
          <w:szCs w:val="32"/>
        </w:rPr>
      </w:pPr>
      <w:r>
        <w:rPr>
          <w:rFonts w:ascii="Times New Roman" w:hAnsi="Times New Roman" w:eastAsia="黑体" w:cs="Times New Roman"/>
          <w:bCs/>
          <w:color w:val="auto"/>
          <w:sz w:val="32"/>
          <w:szCs w:val="32"/>
        </w:rPr>
        <w:t>三、收到和处理政府信息公开申请情况</w:t>
      </w:r>
    </w:p>
    <w:tbl>
      <w:tblPr>
        <w:tblStyle w:val="5"/>
        <w:tblW w:w="8721" w:type="dxa"/>
        <w:jc w:val="center"/>
        <w:tblInd w:w="0" w:type="dxa"/>
        <w:tblLayout w:type="fixed"/>
        <w:tblCellMar>
          <w:top w:w="0" w:type="dxa"/>
          <w:left w:w="10" w:type="dxa"/>
          <w:bottom w:w="0" w:type="dxa"/>
          <w:right w:w="10" w:type="dxa"/>
        </w:tblCellMar>
      </w:tblPr>
      <w:tblGrid>
        <w:gridCol w:w="518"/>
        <w:gridCol w:w="1414"/>
        <w:gridCol w:w="2709"/>
        <w:gridCol w:w="624"/>
        <w:gridCol w:w="562"/>
        <w:gridCol w:w="562"/>
        <w:gridCol w:w="566"/>
        <w:gridCol w:w="566"/>
        <w:gridCol w:w="566"/>
        <w:gridCol w:w="634"/>
      </w:tblGrid>
      <w:tr>
        <w:tblPrEx>
          <w:tblLayout w:type="fixed"/>
          <w:tblCellMar>
            <w:top w:w="0" w:type="dxa"/>
            <w:left w:w="10" w:type="dxa"/>
            <w:bottom w:w="0" w:type="dxa"/>
            <w:right w:w="10" w:type="dxa"/>
          </w:tblCellMar>
        </w:tblPrEx>
        <w:trPr>
          <w:trHeight w:val="538" w:hRule="exact"/>
          <w:jc w:val="center"/>
        </w:trPr>
        <w:tc>
          <w:tcPr>
            <w:tcW w:w="4641" w:type="dxa"/>
            <w:gridSpan w:val="3"/>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（本列数据的勾稽关系为：第一项加第二项之和， 等于第三项加第四项之和）</w:t>
            </w:r>
          </w:p>
        </w:tc>
        <w:tc>
          <w:tcPr>
            <w:tcW w:w="4080" w:type="dxa"/>
            <w:gridSpan w:val="7"/>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申请人情况</w:t>
            </w:r>
          </w:p>
        </w:tc>
      </w:tr>
      <w:tr>
        <w:tblPrEx>
          <w:tblLayout w:type="fixed"/>
          <w:tblCellMar>
            <w:top w:w="0" w:type="dxa"/>
            <w:left w:w="10" w:type="dxa"/>
            <w:bottom w:w="0" w:type="dxa"/>
            <w:right w:w="10" w:type="dxa"/>
          </w:tblCellMar>
        </w:tblPrEx>
        <w:trPr>
          <w:trHeight w:val="475"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自然人</w:t>
            </w:r>
          </w:p>
        </w:tc>
        <w:tc>
          <w:tcPr>
            <w:tcW w:w="2822" w:type="dxa"/>
            <w:gridSpan w:val="5"/>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法人或其他组织</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总计</w:t>
            </w:r>
          </w:p>
        </w:tc>
      </w:tr>
      <w:tr>
        <w:tblPrEx>
          <w:tblLayout w:type="fixed"/>
          <w:tblCellMar>
            <w:top w:w="0" w:type="dxa"/>
            <w:left w:w="10" w:type="dxa"/>
            <w:bottom w:w="0" w:type="dxa"/>
            <w:right w:w="10" w:type="dxa"/>
          </w:tblCellMar>
        </w:tblPrEx>
        <w:trPr>
          <w:trHeight w:val="914"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商业 企业</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科研 机构</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10"/>
                <w:szCs w:val="10"/>
                <w:lang w:eastAsia="zh-CN"/>
              </w:rPr>
            </w:pPr>
            <w:r>
              <w:rPr>
                <w:rFonts w:hint="eastAsia" w:ascii="仿宋_GB2312" w:hAnsi="仿宋_GB2312" w:eastAsia="仿宋_GB2312" w:cs="仿宋_GB2312"/>
                <w:color w:val="auto"/>
                <w:sz w:val="20"/>
                <w:szCs w:val="20"/>
                <w:lang w:val="zh-TW" w:eastAsia="zh-CN" w:bidi="zh-TW"/>
              </w:rPr>
              <w:t>社会公益组织</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法律 服务 机构</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其他</w:t>
            </w:r>
          </w:p>
        </w:tc>
        <w:tc>
          <w:tcPr>
            <w:tcW w:w="634"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r>
      <w:tr>
        <w:tblPrEx>
          <w:tblLayout w:type="fixed"/>
          <w:tblCellMar>
            <w:top w:w="0" w:type="dxa"/>
            <w:left w:w="10" w:type="dxa"/>
            <w:bottom w:w="0" w:type="dxa"/>
            <w:right w:w="10" w:type="dxa"/>
          </w:tblCellMar>
        </w:tblPrEx>
        <w:trPr>
          <w:trHeight w:val="536" w:hRule="exact"/>
          <w:jc w:val="center"/>
        </w:trPr>
        <w:tc>
          <w:tcPr>
            <w:tcW w:w="4641" w:type="dxa"/>
            <w:gridSpan w:val="3"/>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一、本年新收政府信息公开申请数量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95" w:hRule="exact"/>
          <w:jc w:val="center"/>
        </w:trPr>
        <w:tc>
          <w:tcPr>
            <w:tcW w:w="4641" w:type="dxa"/>
            <w:gridSpan w:val="3"/>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二、上年结转政府信息公开申请数量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520" w:hRule="exact"/>
          <w:jc w:val="center"/>
        </w:trPr>
        <w:tc>
          <w:tcPr>
            <w:tcW w:w="518" w:type="dxa"/>
            <w:vMerge w:val="restart"/>
            <w:tcBorders>
              <w:top w:val="single" w:color="auto" w:sz="4" w:space="0"/>
              <w:left w:val="single" w:color="auto" w:sz="4" w:space="0"/>
            </w:tcBorders>
            <w:shd w:val="clear" w:color="auto" w:fill="FFFFFF"/>
            <w:textDirection w:val="tbRlV"/>
            <w:vAlign w:val="center"/>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eastAsia="仿宋_GB2312" w:cs="Times New Roman"/>
                <w:color w:val="auto"/>
              </w:rPr>
            </w:pPr>
            <w:r>
              <w:rPr>
                <w:rFonts w:hint="eastAsia" w:ascii="仿宋_GB2312" w:hAnsi="仿宋_GB2312" w:eastAsia="仿宋_GB2312" w:cs="仿宋_GB2312"/>
                <w:color w:val="auto"/>
              </w:rPr>
              <w:t>三、本年度办理结果</w:t>
            </w: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（一）予以公开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859"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（二）部分公开（区分处理的，只计这一情形，不计其他情形）</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（三）不予公开</w:t>
            </w: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属于国家秘密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lang w:eastAsia="zh-CN"/>
              </w:rPr>
              <w:t>其他法律行政法规</w:t>
            </w:r>
            <w:r>
              <w:rPr>
                <w:rFonts w:hint="eastAsia" w:ascii="仿宋_GB2312" w:hAnsi="仿宋_GB2312" w:eastAsia="仿宋_GB2312" w:cs="仿宋_GB2312"/>
                <w:color w:val="auto"/>
                <w:sz w:val="20"/>
                <w:szCs w:val="20"/>
              </w:rPr>
              <w:t>禁止公开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危及</w:t>
            </w:r>
            <w:r>
              <w:rPr>
                <w:rFonts w:hint="eastAsia" w:ascii="仿宋_GB2312" w:hAnsi="仿宋_GB2312" w:eastAsia="仿宋_GB2312" w:cs="仿宋_GB2312"/>
                <w:color w:val="auto"/>
                <w:sz w:val="20"/>
                <w:szCs w:val="20"/>
                <w:lang w:val="zh-CN" w:eastAsia="zh-CN" w:bidi="zh-CN"/>
              </w:rPr>
              <w:t>“三</w:t>
            </w:r>
            <w:r>
              <w:rPr>
                <w:rFonts w:hint="eastAsia" w:ascii="仿宋_GB2312" w:hAnsi="仿宋_GB2312" w:eastAsia="仿宋_GB2312" w:cs="仿宋_GB2312"/>
                <w:color w:val="auto"/>
                <w:sz w:val="20"/>
                <w:szCs w:val="20"/>
              </w:rPr>
              <w:t>安全一稳定”</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4.</w:t>
            </w:r>
            <w:r>
              <w:rPr>
                <w:rFonts w:hint="eastAsia" w:ascii="仿宋_GB2312" w:hAnsi="仿宋_GB2312" w:eastAsia="仿宋_GB2312" w:cs="仿宋_GB2312"/>
                <w:color w:val="auto"/>
                <w:sz w:val="20"/>
                <w:szCs w:val="20"/>
              </w:rPr>
              <w:t>保护第三方合法权益</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属于三类内部事务信息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6.</w:t>
            </w:r>
            <w:r>
              <w:rPr>
                <w:rFonts w:hint="eastAsia" w:ascii="仿宋_GB2312" w:hAnsi="仿宋_GB2312" w:eastAsia="仿宋_GB2312" w:cs="仿宋_GB2312"/>
                <w:color w:val="auto"/>
                <w:sz w:val="20"/>
                <w:szCs w:val="20"/>
              </w:rPr>
              <w:t>属于四类过程性信息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03"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7.</w:t>
            </w:r>
            <w:r>
              <w:rPr>
                <w:rFonts w:hint="eastAsia" w:ascii="仿宋_GB2312" w:hAnsi="仿宋_GB2312" w:eastAsia="仿宋_GB2312" w:cs="仿宋_GB2312"/>
                <w:color w:val="auto"/>
                <w:sz w:val="20"/>
                <w:szCs w:val="20"/>
              </w:rPr>
              <w:t>属于行政执法案卷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8.</w:t>
            </w:r>
            <w:r>
              <w:rPr>
                <w:rFonts w:hint="eastAsia" w:ascii="仿宋_GB2312" w:hAnsi="仿宋_GB2312" w:eastAsia="仿宋_GB2312" w:cs="仿宋_GB2312"/>
                <w:color w:val="auto"/>
                <w:sz w:val="20"/>
                <w:szCs w:val="20"/>
              </w:rPr>
              <w:t>属于行政查询事项</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（四）无法提供</w:t>
            </w: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1.</w:t>
            </w:r>
            <w:r>
              <w:rPr>
                <w:rFonts w:hint="eastAsia" w:ascii="仿宋_GB2312" w:hAnsi="仿宋_GB2312" w:eastAsia="仿宋_GB2312" w:cs="仿宋_GB2312"/>
                <w:color w:val="auto"/>
                <w:sz w:val="20"/>
                <w:szCs w:val="20"/>
              </w:rPr>
              <w:t>本机关不掌握相关政府信息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rPr>
              <w:t>没有现成信息需要另行制作</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补正后申请内容仍不明确</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36"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（五）不予处理</w:t>
            </w: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信访举报投诉类申请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37"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2.</w:t>
            </w:r>
            <w:r>
              <w:rPr>
                <w:rFonts w:hint="eastAsia" w:ascii="仿宋_GB2312" w:hAnsi="仿宋_GB2312" w:eastAsia="仿宋_GB2312" w:cs="仿宋_GB2312"/>
                <w:color w:val="auto"/>
                <w:sz w:val="20"/>
                <w:szCs w:val="20"/>
              </w:rPr>
              <w:t>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1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3.</w:t>
            </w:r>
            <w:r>
              <w:rPr>
                <w:rFonts w:hint="eastAsia" w:ascii="仿宋_GB2312" w:hAnsi="仿宋_GB2312" w:eastAsia="仿宋_GB2312" w:cs="仿宋_GB2312"/>
                <w:color w:val="auto"/>
                <w:sz w:val="20"/>
                <w:szCs w:val="20"/>
              </w:rPr>
              <w:t>要求提供公开出版物</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3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bottom"/>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4.</w:t>
            </w:r>
            <w:r>
              <w:rPr>
                <w:rFonts w:hint="eastAsia" w:ascii="仿宋_GB2312" w:hAnsi="仿宋_GB2312" w:eastAsia="仿宋_GB2312" w:cs="仿宋_GB2312"/>
                <w:color w:val="auto"/>
                <w:sz w:val="20"/>
                <w:szCs w:val="20"/>
              </w:rPr>
              <w:t>无正当理由大量反复申请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571"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left="340" w:hanging="34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要求行政机关确认或重新出具已获取信息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（六）其他处理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（七）总计</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66" w:hRule="exact"/>
          <w:jc w:val="center"/>
        </w:trPr>
        <w:tc>
          <w:tcPr>
            <w:tcW w:w="4641" w:type="dxa"/>
            <w:gridSpan w:val="3"/>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四、结转下年度继续办理</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lang w:eastAsia="zh-CN"/>
        </w:rPr>
        <w:sectPr>
          <w:headerReference r:id="rId3" w:type="default"/>
          <w:footerReference r:id="rId5" w:type="default"/>
          <w:headerReference r:id="rId4" w:type="even"/>
          <w:footerReference r:id="rId6" w:type="even"/>
          <w:pgSz w:w="11900" w:h="16840"/>
          <w:pgMar w:top="1587" w:right="1417" w:bottom="1283" w:left="1417" w:header="0" w:footer="3" w:gutter="0"/>
          <w:pgNumType w:start="8"/>
          <w:cols w:space="720" w:num="1"/>
          <w:docGrid w:linePitch="360" w:charSpace="0"/>
        </w:sect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黑体" w:cs="Times New Roman"/>
          <w:color w:val="auto"/>
          <w:sz w:val="32"/>
          <w:szCs w:val="32"/>
        </w:rPr>
      </w:pPr>
      <w:bookmarkStart w:id="0" w:name="bookmark39"/>
      <w:r>
        <w:rPr>
          <w:rFonts w:ascii="Times New Roman" w:hAnsi="Times New Roman" w:eastAsia="黑体" w:cs="Times New Roman"/>
          <w:bCs/>
          <w:color w:val="auto"/>
          <w:sz w:val="32"/>
          <w:szCs w:val="32"/>
        </w:rPr>
        <w:t>四</w:t>
      </w:r>
      <w:bookmarkEnd w:id="0"/>
      <w:r>
        <w:rPr>
          <w:rFonts w:ascii="Times New Roman" w:hAnsi="Times New Roman" w:eastAsia="黑体" w:cs="Times New Roman"/>
          <w:bCs/>
          <w:color w:val="auto"/>
          <w:sz w:val="32"/>
          <w:szCs w:val="32"/>
        </w:rPr>
        <w:t>、政府信息公开行政复议、行政诉讼情况</w:t>
      </w:r>
    </w:p>
    <w:tbl>
      <w:tblPr>
        <w:tblStyle w:val="5"/>
        <w:tblW w:w="8737" w:type="dxa"/>
        <w:jc w:val="center"/>
        <w:tblInd w:w="0" w:type="dxa"/>
        <w:tblLayout w:type="fixed"/>
        <w:tblCellMar>
          <w:top w:w="0" w:type="dxa"/>
          <w:left w:w="10" w:type="dxa"/>
          <w:bottom w:w="0" w:type="dxa"/>
          <w:right w:w="10" w:type="dxa"/>
        </w:tblCellMar>
      </w:tblPr>
      <w:tblGrid>
        <w:gridCol w:w="629"/>
        <w:gridCol w:w="629"/>
        <w:gridCol w:w="624"/>
        <w:gridCol w:w="624"/>
        <w:gridCol w:w="562"/>
        <w:gridCol w:w="562"/>
        <w:gridCol w:w="571"/>
        <w:gridCol w:w="562"/>
        <w:gridCol w:w="566"/>
        <w:gridCol w:w="566"/>
        <w:gridCol w:w="562"/>
        <w:gridCol w:w="571"/>
        <w:gridCol w:w="562"/>
        <w:gridCol w:w="566"/>
        <w:gridCol w:w="581"/>
      </w:tblGrid>
      <w:tr>
        <w:tblPrEx>
          <w:tblLayout w:type="fixed"/>
          <w:tblCellMar>
            <w:top w:w="0" w:type="dxa"/>
            <w:left w:w="10" w:type="dxa"/>
            <w:bottom w:w="0" w:type="dxa"/>
            <w:right w:w="10" w:type="dxa"/>
          </w:tblCellMar>
        </w:tblPrEx>
        <w:trPr>
          <w:trHeight w:val="470" w:hRule="exact"/>
          <w:jc w:val="center"/>
        </w:trPr>
        <w:tc>
          <w:tcPr>
            <w:tcW w:w="3068" w:type="dxa"/>
            <w:gridSpan w:val="5"/>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行政复议</w:t>
            </w:r>
          </w:p>
        </w:tc>
        <w:tc>
          <w:tcPr>
            <w:tcW w:w="5669" w:type="dxa"/>
            <w:gridSpan w:val="10"/>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行政诉讼</w:t>
            </w:r>
          </w:p>
        </w:tc>
      </w:tr>
      <w:tr>
        <w:tblPrEx>
          <w:tblLayout w:type="fixed"/>
          <w:tblCellMar>
            <w:top w:w="0" w:type="dxa"/>
            <w:left w:w="10" w:type="dxa"/>
            <w:bottom w:w="0" w:type="dxa"/>
            <w:right w:w="10" w:type="dxa"/>
          </w:tblCellMar>
        </w:tblPrEx>
        <w:trPr>
          <w:trHeight w:val="451" w:hRule="exact"/>
          <w:jc w:val="center"/>
        </w:trPr>
        <w:tc>
          <w:tcPr>
            <w:tcW w:w="629"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629"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62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62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2" w:type="dxa"/>
            <w:vMerge w:val="restart"/>
            <w:tcBorders>
              <w:top w:val="single" w:color="auto" w:sz="4" w:space="0"/>
              <w:left w:val="single" w:color="auto" w:sz="4" w:space="0"/>
            </w:tcBorders>
            <w:shd w:val="clear" w:color="auto" w:fill="FFFFFF"/>
            <w:textDirection w:val="tbRlV"/>
            <w:vAlign w:val="bottom"/>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2827" w:type="dxa"/>
            <w:gridSpan w:val="5"/>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未经复议直接起诉</w:t>
            </w:r>
          </w:p>
        </w:tc>
        <w:tc>
          <w:tcPr>
            <w:tcW w:w="2842" w:type="dxa"/>
            <w:gridSpan w:val="5"/>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复议后起诉</w:t>
            </w:r>
          </w:p>
        </w:tc>
      </w:tr>
      <w:tr>
        <w:tblPrEx>
          <w:tblLayout w:type="fixed"/>
          <w:tblCellMar>
            <w:top w:w="0" w:type="dxa"/>
            <w:left w:w="10" w:type="dxa"/>
            <w:bottom w:w="0" w:type="dxa"/>
            <w:right w:w="10" w:type="dxa"/>
          </w:tblCellMar>
        </w:tblPrEx>
        <w:trPr>
          <w:trHeight w:val="850" w:hRule="exact"/>
          <w:jc w:val="center"/>
        </w:trPr>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6" w:type="dxa"/>
            <w:tcBorders>
              <w:top w:val="single" w:color="auto" w:sz="4" w:space="0"/>
              <w:left w:val="single" w:color="auto" w:sz="4" w:space="0"/>
            </w:tcBorders>
            <w:shd w:val="clear" w:color="auto" w:fill="FFFFFF"/>
            <w:textDirection w:val="tbRlV"/>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81" w:type="dxa"/>
            <w:tcBorders>
              <w:top w:val="single" w:color="auto" w:sz="4" w:space="0"/>
              <w:left w:val="single" w:color="auto" w:sz="4" w:space="0"/>
              <w:right w:val="single" w:color="auto" w:sz="4" w:space="0"/>
            </w:tcBorders>
            <w:shd w:val="clear" w:color="auto" w:fill="FFFFFF"/>
            <w:textDirection w:val="tbRlV"/>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r>
      <w:tr>
        <w:tblPrEx>
          <w:tblLayout w:type="fixed"/>
          <w:tblCellMar>
            <w:top w:w="0" w:type="dxa"/>
            <w:left w:w="10" w:type="dxa"/>
            <w:bottom w:w="0" w:type="dxa"/>
            <w:right w:w="10" w:type="dxa"/>
          </w:tblCellMar>
        </w:tblPrEx>
        <w:trPr>
          <w:trHeight w:val="726" w:hRule="exact"/>
          <w:jc w:val="center"/>
        </w:trPr>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c>
          <w:tcPr>
            <w:tcW w:w="5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宋体"/>
                <w:color w:val="auto"/>
                <w:sz w:val="32"/>
                <w:szCs w:val="32"/>
                <w:lang w:eastAsia="zh-CN"/>
              </w:rPr>
            </w:pPr>
            <w:r>
              <w:rPr>
                <w:rFonts w:hint="eastAsia" w:eastAsia="宋体"/>
                <w:color w:val="auto"/>
                <w:sz w:val="32"/>
                <w:szCs w:val="32"/>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lang w:eastAsia="zh-CN" w:bidi="ar-SA"/>
        </w:rPr>
      </w:pPr>
      <w:r>
        <w:rPr>
          <w:rFonts w:eastAsia="黑体"/>
          <w:color w:val="auto"/>
          <w:sz w:val="32"/>
          <w:szCs w:val="32"/>
          <w:lang w:eastAsia="zh-CN" w:bidi="ar-SA"/>
        </w:rPr>
        <w:t>五、存在的主要问题及改进情况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b/>
          <w:bCs/>
          <w:color w:val="auto"/>
          <w:sz w:val="32"/>
          <w:szCs w:val="32"/>
          <w:lang w:val="en-US" w:eastAsia="zh-CN" w:bidi="ar-SA"/>
        </w:rPr>
      </w:pPr>
      <w:r>
        <w:rPr>
          <w:rFonts w:ascii="Times New Roman" w:hAnsi="Times New Roman" w:eastAsia="仿宋_GB2312" w:cs="Times New Roman"/>
          <w:color w:val="auto"/>
          <w:sz w:val="32"/>
          <w:szCs w:val="32"/>
          <w:lang w:eastAsia="zh-CN" w:bidi="ar-SA"/>
        </w:rPr>
        <w:t>　</w:t>
      </w:r>
      <w:r>
        <w:rPr>
          <w:rFonts w:hint="eastAsia" w:ascii="仿宋_GB2312" w:hAnsi="仿宋_GB2312" w:eastAsia="仿宋_GB2312" w:cs="仿宋_GB2312"/>
          <w:b/>
          <w:bCs/>
          <w:color w:val="auto"/>
          <w:sz w:val="32"/>
          <w:szCs w:val="32"/>
          <w:lang w:eastAsia="zh-CN" w:bidi="ar-SA"/>
        </w:rPr>
        <w:t>　</w:t>
      </w:r>
      <w:r>
        <w:rPr>
          <w:rFonts w:hint="eastAsia" w:eastAsia="仿宋_GB2312" w:cs="Times New Roman"/>
          <w:color w:val="auto"/>
          <w:sz w:val="32"/>
          <w:szCs w:val="32"/>
          <w:lang w:val="en-US" w:eastAsia="zh-CN"/>
        </w:rPr>
        <w:t>2021</w:t>
      </w:r>
      <w:r>
        <w:rPr>
          <w:rFonts w:hint="default" w:ascii="Times New Roman" w:hAnsi="Times New Roman" w:eastAsia="仿宋_GB2312" w:cs="Times New Roman"/>
          <w:b w:val="0"/>
          <w:color w:val="auto"/>
          <w:sz w:val="32"/>
          <w:szCs w:val="32"/>
          <w:shd w:val="clear" w:color="auto" w:fill="FFFFFF"/>
          <w:lang w:val="en-US" w:eastAsia="zh-CN"/>
        </w:rPr>
        <w:t>年</w:t>
      </w:r>
      <w:r>
        <w:rPr>
          <w:rFonts w:hint="default" w:ascii="Times New Roman" w:hAnsi="Times New Roman" w:eastAsia="仿宋_GB2312" w:cs="Times New Roman"/>
          <w:b w:val="0"/>
          <w:color w:val="auto"/>
          <w:sz w:val="32"/>
          <w:szCs w:val="32"/>
          <w:shd w:val="clear" w:color="auto" w:fill="FFFFFF"/>
        </w:rPr>
        <w:t>我局信息公开工作取得了一定成绩，但也存在一些问题和不足</w:t>
      </w:r>
      <w:r>
        <w:rPr>
          <w:rFonts w:hint="default" w:ascii="Times New Roman" w:hAnsi="Times New Roman" w:eastAsia="仿宋_GB2312" w:cs="Times New Roman"/>
          <w:b w:val="0"/>
          <w:color w:val="auto"/>
          <w:sz w:val="32"/>
          <w:szCs w:val="32"/>
          <w:shd w:val="clear" w:color="auto" w:fill="FFFFFF"/>
          <w:lang w:eastAsia="zh-CN"/>
        </w:rPr>
        <w:t>：</w:t>
      </w:r>
      <w:r>
        <w:rPr>
          <w:rFonts w:hint="default" w:ascii="Times New Roman" w:hAnsi="Times New Roman" w:eastAsia="宋体" w:cs="Times New Roman"/>
          <w:color w:val="auto"/>
          <w:sz w:val="32"/>
          <w:szCs w:val="32"/>
        </w:rPr>
        <w:t>一是</w:t>
      </w:r>
      <w:r>
        <w:rPr>
          <w:rFonts w:hint="default" w:ascii="Times New Roman" w:hAnsi="Times New Roman" w:eastAsia="仿宋_GB2312" w:cs="Times New Roman"/>
          <w:color w:val="auto"/>
          <w:sz w:val="32"/>
          <w:szCs w:val="32"/>
        </w:rPr>
        <w:t>对信息公开重要性的认识还不到位</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eastAsiaTheme="minorEastAsia"/>
          <w:color w:val="auto"/>
          <w:sz w:val="32"/>
          <w:szCs w:val="32"/>
        </w:rPr>
        <w:t>二是</w:t>
      </w:r>
      <w:r>
        <w:rPr>
          <w:rFonts w:hint="default" w:ascii="Times New Roman" w:hAnsi="Times New Roman" w:eastAsia="仿宋_GB2312" w:cs="Times New Roman"/>
          <w:color w:val="auto"/>
          <w:sz w:val="32"/>
          <w:szCs w:val="32"/>
        </w:rPr>
        <w:t>公开的形式和内容还有待于进一步改进和完善，公开信息的质量还有待提高</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color w:val="auto"/>
          <w:sz w:val="32"/>
          <w:szCs w:val="32"/>
          <w:shd w:val="clear" w:color="auto" w:fill="FFFFFF"/>
        </w:rPr>
      </w:pPr>
      <w:r>
        <w:rPr>
          <w:rFonts w:hint="default" w:ascii="Times New Roman" w:hAnsi="Times New Roman" w:eastAsia="仿宋_GB2312" w:cs="Times New Roman"/>
          <w:b w:val="0"/>
          <w:color w:val="auto"/>
          <w:sz w:val="32"/>
          <w:szCs w:val="32"/>
          <w:shd w:val="clear" w:color="auto" w:fill="FFFFFF"/>
        </w:rPr>
        <w:t>下一步，我局将有针对性地改进信息公开工作的薄弱环节，着重做好以下工作：</w:t>
      </w:r>
    </w:p>
    <w:p>
      <w:pPr>
        <w:pStyle w:val="2"/>
        <w:widowControl/>
        <w:shd w:val="clear" w:color="auto" w:fill="FFFFFF"/>
        <w:spacing w:beforeAutospacing="0" w:afterAutospacing="0" w:line="580" w:lineRule="exact"/>
        <w:ind w:firstLine="627" w:firstLineChars="196"/>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楷体_GB2312" w:cs="Times New Roman"/>
          <w:b w:val="0"/>
          <w:color w:val="auto"/>
          <w:kern w:val="2"/>
          <w:sz w:val="32"/>
          <w:szCs w:val="32"/>
          <w:lang w:val="en-US" w:eastAsia="zh-CN" w:bidi="ar-SA"/>
        </w:rPr>
        <w:t>（一）统一思想，提高认识。</w:t>
      </w:r>
      <w:r>
        <w:rPr>
          <w:rFonts w:hint="default" w:ascii="Times New Roman" w:hAnsi="Times New Roman" w:eastAsia="仿宋_GB2312" w:cs="Times New Roman"/>
          <w:b w:val="0"/>
          <w:color w:val="auto"/>
          <w:kern w:val="2"/>
          <w:sz w:val="32"/>
          <w:szCs w:val="32"/>
          <w:lang w:val="en-US" w:eastAsia="zh-CN" w:bidi="ar-SA"/>
        </w:rPr>
        <w:t>坚定不移地做好政府信息公开工作，把其作为服务社会、服务群众的重要途径，与具体工作结合起来。做到机构健全、制度完善、责任到人，建立起各负其责、运转协调的政府信息公开长效机制。</w:t>
      </w:r>
    </w:p>
    <w:p>
      <w:pPr>
        <w:pStyle w:val="2"/>
        <w:widowControl/>
        <w:shd w:val="clear" w:color="auto" w:fill="FFFFFF"/>
        <w:spacing w:beforeAutospacing="0" w:afterAutospacing="0" w:line="580" w:lineRule="exact"/>
        <w:ind w:firstLine="627" w:firstLineChars="196"/>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楷体_GB2312" w:cs="Times New Roman"/>
          <w:b w:val="0"/>
          <w:color w:val="auto"/>
          <w:kern w:val="2"/>
          <w:sz w:val="32"/>
          <w:szCs w:val="32"/>
          <w:lang w:val="en-US" w:eastAsia="zh-CN" w:bidi="ar-SA"/>
        </w:rPr>
        <w:t>（二）进一步深化信息公开内容，服务公众。</w:t>
      </w:r>
      <w:r>
        <w:rPr>
          <w:rFonts w:hint="default" w:ascii="Times New Roman" w:hAnsi="Times New Roman" w:eastAsia="仿宋_GB2312" w:cs="Times New Roman"/>
          <w:b w:val="0"/>
          <w:color w:val="auto"/>
          <w:kern w:val="2"/>
          <w:sz w:val="32"/>
          <w:szCs w:val="32"/>
          <w:lang w:val="en-US" w:eastAsia="zh-CN" w:bidi="ar-SA"/>
        </w:rPr>
        <w:t>在继续增强政府信息公开信息时效性的基础上，结合区政府年度信息公开工作要点，加大主动公开力度，认真做好解读，积极回应社会关切问题，以政府信息公开促进办事公开，以办事公开带动便民服务。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bidi="ar-SA"/>
        </w:rPr>
      </w:pPr>
      <w:r>
        <w:rPr>
          <w:rFonts w:hint="default" w:ascii="Times New Roman" w:hAnsi="Times New Roman" w:eastAsia="楷体_GB2312" w:cs="Times New Roman"/>
          <w:b w:val="0"/>
          <w:color w:val="auto"/>
          <w:kern w:val="2"/>
          <w:sz w:val="32"/>
          <w:szCs w:val="32"/>
          <w:lang w:val="en-US" w:eastAsia="zh-CN" w:bidi="ar-SA"/>
        </w:rPr>
        <w:t>（三）完善政务公开信息监督、考核机制，确保公开信息准确及时。</w:t>
      </w:r>
      <w:r>
        <w:rPr>
          <w:rFonts w:hint="default" w:ascii="Times New Roman" w:hAnsi="Times New Roman" w:eastAsia="仿宋_GB2312" w:cs="Times New Roman"/>
          <w:b w:val="0"/>
          <w:color w:val="auto"/>
          <w:kern w:val="2"/>
          <w:sz w:val="32"/>
          <w:szCs w:val="32"/>
          <w:lang w:val="en-US" w:eastAsia="zh-CN" w:bidi="ar-SA"/>
        </w:rPr>
        <w:t>进一步规范</w:t>
      </w:r>
      <w:r>
        <w:rPr>
          <w:rFonts w:hint="default" w:ascii="Times New Roman" w:hAnsi="Times New Roman" w:eastAsia="仿宋_GB2312" w:cs="Times New Roman"/>
          <w:color w:val="auto"/>
          <w:sz w:val="32"/>
          <w:szCs w:val="32"/>
        </w:rPr>
        <w:t>规范信息公开制度，提高信息公开时效，不断加大信息公开力度，在规范化、制度化、流程化等方面取得新进展。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textAlignment w:val="auto"/>
        <w:rPr>
          <w:rFonts w:hint="eastAsia" w:eastAsia="黑体"/>
          <w:color w:val="auto"/>
          <w:sz w:val="32"/>
          <w:szCs w:val="32"/>
          <w:lang w:eastAsia="zh-CN" w:bidi="zh-TW"/>
        </w:rPr>
      </w:pPr>
      <w:r>
        <w:rPr>
          <w:rFonts w:eastAsia="黑体"/>
          <w:color w:val="auto"/>
          <w:sz w:val="32"/>
          <w:szCs w:val="32"/>
          <w:lang w:eastAsia="zh-CN" w:bidi="zh-TW"/>
        </w:rPr>
        <w:t>六、其他需要报告的事项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3"/>
        <w:rPr>
          <w:rFonts w:ascii="Times New Roman" w:hAnsi="Times New Roman" w:eastAsia="黑体" w:cs="Times New Roman"/>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（一）人大代表建议和政协委员提案办理情况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rPr>
      </w:pPr>
      <w:r>
        <w:rPr>
          <w:rFonts w:hint="eastAsia" w:eastAsia="仿宋_GB2312"/>
          <w:color w:val="auto"/>
          <w:sz w:val="32"/>
          <w:szCs w:val="32"/>
          <w:lang w:val="en-US" w:eastAsia="zh-CN"/>
        </w:rPr>
        <w:t>2021年，</w:t>
      </w:r>
      <w:r>
        <w:rPr>
          <w:rFonts w:hint="eastAsia" w:eastAsia="仿宋_GB2312"/>
          <w:color w:val="auto"/>
          <w:sz w:val="32"/>
          <w:szCs w:val="32"/>
          <w:shd w:val="clear" w:color="auto" w:fill="FFFFFF"/>
          <w:lang w:val="en-US" w:eastAsia="zh-CN"/>
        </w:rPr>
        <w:t>市中区地方金融监管局</w:t>
      </w:r>
      <w:r>
        <w:rPr>
          <w:rFonts w:eastAsia="仿宋_GB2312"/>
          <w:color w:val="auto"/>
          <w:sz w:val="32"/>
          <w:szCs w:val="32"/>
          <w:lang w:eastAsia="zh-CN"/>
        </w:rPr>
        <w:t>共承办</w:t>
      </w:r>
      <w:r>
        <w:rPr>
          <w:rFonts w:hint="eastAsia" w:eastAsia="仿宋_GB2312"/>
          <w:color w:val="auto"/>
          <w:sz w:val="32"/>
          <w:szCs w:val="32"/>
          <w:lang w:val="en-US" w:eastAsia="zh-CN"/>
        </w:rPr>
        <w:t>区级人大代表建议3件，</w:t>
      </w:r>
      <w:r>
        <w:rPr>
          <w:rFonts w:eastAsia="仿宋_GB2312"/>
          <w:color w:val="auto"/>
          <w:sz w:val="32"/>
          <w:szCs w:val="32"/>
          <w:lang w:eastAsia="zh-CN"/>
        </w:rPr>
        <w:t>办复率100%；承办</w:t>
      </w:r>
      <w:r>
        <w:rPr>
          <w:rFonts w:hint="eastAsia" w:eastAsia="仿宋_GB2312"/>
          <w:color w:val="auto"/>
          <w:sz w:val="32"/>
          <w:szCs w:val="32"/>
          <w:lang w:val="en-US" w:eastAsia="zh-CN"/>
        </w:rPr>
        <w:t>区政协委员提案4件，</w:t>
      </w:r>
      <w:r>
        <w:rPr>
          <w:rFonts w:eastAsia="仿宋_GB2312"/>
          <w:color w:val="auto"/>
          <w:sz w:val="32"/>
          <w:szCs w:val="32"/>
          <w:lang w:eastAsia="zh-CN"/>
        </w:rPr>
        <w:t>办复率100%。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val="0"/>
          <w:color w:val="auto"/>
          <w:sz w:val="32"/>
          <w:szCs w:val="32"/>
          <w:lang w:eastAsia="zh-CN"/>
        </w:rPr>
      </w:pPr>
      <w:r>
        <w:rPr>
          <w:rFonts w:hint="eastAsia" w:eastAsia="仿宋_GB2312"/>
          <w:b/>
          <w:bCs/>
          <w:color w:val="auto"/>
          <w:sz w:val="32"/>
          <w:szCs w:val="32"/>
          <w:lang w:eastAsia="zh-CN"/>
        </w:rPr>
        <w:t>（</w:t>
      </w:r>
      <w:r>
        <w:rPr>
          <w:rFonts w:hint="eastAsia" w:eastAsia="仿宋_GB2312"/>
          <w:b/>
          <w:bCs/>
          <w:color w:val="auto"/>
          <w:sz w:val="32"/>
          <w:szCs w:val="32"/>
          <w:lang w:val="en-US" w:eastAsia="zh-CN"/>
        </w:rPr>
        <w:t>二</w:t>
      </w:r>
      <w:r>
        <w:rPr>
          <w:rFonts w:hint="eastAsia" w:eastAsia="仿宋_GB2312"/>
          <w:b/>
          <w:bCs/>
          <w:color w:val="auto"/>
          <w:sz w:val="32"/>
          <w:szCs w:val="32"/>
          <w:lang w:eastAsia="zh-CN"/>
        </w:rPr>
        <w:t>）收取信息处理费的情况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ascii="仿宋_GB2312" w:hAnsi="Times New Roman" w:eastAsia="仿宋_GB2312" w:cs="仿宋_GB2312"/>
          <w:color w:val="auto"/>
          <w:sz w:val="32"/>
          <w:szCs w:val="32"/>
          <w:lang w:eastAsia="zh-CN"/>
        </w:rPr>
        <w:t>本年度依申请公开政府信息未收取任何费用。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三</w:t>
      </w: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其他需要报告事项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eastAsia="仿宋_GB2312"/>
          <w:color w:val="auto"/>
          <w:sz w:val="32"/>
          <w:szCs w:val="32"/>
          <w:shd w:val="clear" w:color="auto" w:fill="FFFFFF"/>
          <w:lang w:eastAsia="zh-CN"/>
        </w:rPr>
      </w:pPr>
      <w:r>
        <w:rPr>
          <w:rFonts w:eastAsia="仿宋_GB2312"/>
          <w:color w:val="auto"/>
          <w:sz w:val="32"/>
          <w:szCs w:val="32"/>
          <w:shd w:val="clear" w:color="auto" w:fill="FFFFFF"/>
          <w:lang w:eastAsia="zh-CN"/>
        </w:rPr>
        <w:t>本报告所列数据的统计时限自202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市中区地方金融监管局</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枣庄市市中区光明中路68号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0632-8023196</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fldChar w:fldCharType="begin"/>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instrText xml:space="preserve"> HYPERLINK "mailto:zzsszqjrgzbgs@zz.shandong.cn" </w:instrTex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fldChar w:fldCharType="separate"/>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zzsszqjrgzbgs@zz.shandong.cn</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fldChar w:fldCharType="end"/>
      </w:r>
      <w:r>
        <w:rPr>
          <w:rFonts w:eastAsia="仿宋_GB2312"/>
          <w:color w:val="auto"/>
          <w:sz w:val="32"/>
          <w:szCs w:val="32"/>
          <w:shd w:val="clear" w:color="auto" w:fill="FFFFFF"/>
          <w:lang w:eastAsia="zh-CN"/>
        </w:rPr>
        <w:t> </w:t>
      </w:r>
      <w:r>
        <w:rPr>
          <w:rFonts w:hint="eastAsia" w:eastAsia="仿宋_GB2312"/>
          <w:color w:val="auto"/>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eastAsia="仿宋_GB2312"/>
          <w:color w:val="auto"/>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eastAsia="仿宋_GB2312"/>
          <w:color w:val="auto"/>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textAlignment w:val="auto"/>
        <w:rPr>
          <w:rFonts w:hint="eastAsia" w:eastAsia="仿宋_GB2312"/>
          <w:b/>
          <w:bCs/>
          <w:color w:val="auto"/>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right"/>
        <w:textAlignment w:val="auto"/>
        <w:rPr>
          <w:rFonts w:hint="eastAsia" w:eastAsia="仿宋_GB2312"/>
          <w:b w:val="0"/>
          <w:bCs w:val="0"/>
          <w:color w:val="auto"/>
          <w:sz w:val="32"/>
          <w:szCs w:val="32"/>
          <w:lang w:val="en-US" w:eastAsia="zh-CN"/>
        </w:rPr>
      </w:pPr>
      <w:r>
        <w:rPr>
          <w:rFonts w:hint="eastAsia" w:eastAsia="仿宋_GB2312"/>
          <w:b w:val="0"/>
          <w:bCs w:val="0"/>
          <w:color w:val="auto"/>
          <w:sz w:val="32"/>
          <w:szCs w:val="32"/>
          <w:shd w:val="clear" w:color="auto" w:fill="FFFFFF"/>
          <w:lang w:val="en-US" w:eastAsia="zh-CN"/>
        </w:rPr>
        <w:t>市中区</w:t>
      </w:r>
      <w:r>
        <w:rPr>
          <w:rFonts w:hint="eastAsia" w:eastAsia="仿宋_GB2312"/>
          <w:b w:val="0"/>
          <w:bCs w:val="0"/>
          <w:color w:val="auto"/>
          <w:sz w:val="32"/>
          <w:szCs w:val="32"/>
          <w:lang w:val="en-US" w:eastAsia="zh-CN"/>
        </w:rPr>
        <w:t>地方金融监管局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right"/>
        <w:textAlignment w:val="auto"/>
        <w:rPr>
          <w:rFonts w:hint="default" w:eastAsia="仿宋_GB2312"/>
          <w:b w:val="0"/>
          <w:bCs w:val="0"/>
          <w:color w:val="auto"/>
          <w:sz w:val="32"/>
          <w:szCs w:val="32"/>
          <w:shd w:val="clear" w:color="auto" w:fill="FFFFFF"/>
          <w:lang w:val="en-US" w:eastAsia="zh-CN"/>
        </w:rPr>
      </w:pPr>
      <w:r>
        <w:rPr>
          <w:rFonts w:hint="eastAsia" w:eastAsia="仿宋_GB2312"/>
          <w:b w:val="0"/>
          <w:bCs w:val="0"/>
          <w:color w:val="auto"/>
          <w:sz w:val="32"/>
          <w:szCs w:val="32"/>
          <w:shd w:val="clear" w:color="auto" w:fill="FFFFFF"/>
          <w:lang w:val="en-US" w:eastAsia="zh-CN"/>
        </w:rPr>
        <w:t>2022年1月15日</w:t>
      </w:r>
    </w:p>
    <w:p>
      <w:pPr>
        <w:rPr>
          <w:rFonts w:hint="eastAsia" w:eastAsiaTheme="minorEastAsia"/>
          <w:color w:val="auto"/>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aBI8oBAAB5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1313180</wp:posOffset>
              </wp:positionH>
              <wp:positionV relativeFrom="page">
                <wp:posOffset>9942195</wp:posOffset>
              </wp:positionV>
              <wp:extent cx="78613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786130" cy="118745"/>
                      </a:xfrm>
                      <a:prstGeom prst="rect">
                        <a:avLst/>
                      </a:prstGeom>
                      <a:noFill/>
                      <a:ln>
                        <a:noFill/>
                      </a:ln>
                      <a:effectLst/>
                    </wps:spPr>
                    <wps:txbx>
                      <w:txbxContent>
                        <w:p>
                          <w:pPr>
                            <w:pStyle w:val="8"/>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wps:txbx>
                    <wps:bodyPr wrap="none" lIns="0" tIns="0" rIns="0" bIns="0">
                      <a:spAutoFit/>
                    </wps:bodyPr>
                  </wps:wsp>
                </a:graphicData>
              </a:graphic>
            </wp:anchor>
          </w:drawing>
        </mc:Choice>
        <mc:Fallback>
          <w:pict>
            <v:shape id="Shape 23" o:spid="_x0000_s1026" o:spt="202" type="#_x0000_t202" style="position:absolute;left:0pt;margin-left:103.4pt;margin-top:782.85pt;height:9.35pt;width:61.9pt;mso-position-horizontal-relative:page;mso-position-vertical-relative:page;mso-wrap-style:none;z-index:-251657216;mso-width-relative:page;mso-height-relative:page;" filled="f" stroked="f" coordsize="21600,21600" o:gfxdata="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1QpuN2AAAAA0BAAAPAAAAAAAA&#10;AAEAIAAAACIAAABkcnMvZG93bnJldi54bWxQSwECFAAUAAAACACHTuJAcy/QQqABAABJAwAADgAA&#10;AAAAAAABACAAAAAnAQAAZHJzL2Uyb0RvYy54bWxQSwUGAAAAAAYABgBZAQAAOQUAAAAA&#10;">
              <v:fill on="f" focussize="0,0"/>
              <v:stroke on="f"/>
              <v:imagedata o:title=""/>
              <o:lock v:ext="edit" aspectratio="f"/>
              <v:textbox inset="0mm,0mm,0mm,0mm" style="mso-fit-shape-to-text:t;">
                <w:txbxContent>
                  <w:p>
                    <w:pPr>
                      <w:pStyle w:val="8"/>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169D4"/>
    <w:multiLevelType w:val="singleLevel"/>
    <w:tmpl w:val="93C169D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69"/>
    <w:rsid w:val="00081823"/>
    <w:rsid w:val="00112B69"/>
    <w:rsid w:val="005A70FF"/>
    <w:rsid w:val="00B03096"/>
    <w:rsid w:val="00F0539A"/>
    <w:rsid w:val="021D046B"/>
    <w:rsid w:val="025E0CC2"/>
    <w:rsid w:val="09AC2E40"/>
    <w:rsid w:val="0A3E1141"/>
    <w:rsid w:val="0B8F2AB2"/>
    <w:rsid w:val="0DC15531"/>
    <w:rsid w:val="101A475B"/>
    <w:rsid w:val="10380ED8"/>
    <w:rsid w:val="16587E34"/>
    <w:rsid w:val="1AAF71B2"/>
    <w:rsid w:val="1B393829"/>
    <w:rsid w:val="1D276D79"/>
    <w:rsid w:val="2007106B"/>
    <w:rsid w:val="22C35034"/>
    <w:rsid w:val="249A41F0"/>
    <w:rsid w:val="24B65C7B"/>
    <w:rsid w:val="271F6DB2"/>
    <w:rsid w:val="28BE4FD8"/>
    <w:rsid w:val="2A01158C"/>
    <w:rsid w:val="2A366FA5"/>
    <w:rsid w:val="2B247393"/>
    <w:rsid w:val="2B7E7F7A"/>
    <w:rsid w:val="2E6160E2"/>
    <w:rsid w:val="34C27E73"/>
    <w:rsid w:val="372B44B7"/>
    <w:rsid w:val="37DD4F2A"/>
    <w:rsid w:val="3CA63654"/>
    <w:rsid w:val="424E6C95"/>
    <w:rsid w:val="48221986"/>
    <w:rsid w:val="4A263FB9"/>
    <w:rsid w:val="58EE060B"/>
    <w:rsid w:val="5A891C07"/>
    <w:rsid w:val="5AE6494C"/>
    <w:rsid w:val="5B161EE9"/>
    <w:rsid w:val="5EA95810"/>
    <w:rsid w:val="62A02DE5"/>
    <w:rsid w:val="62DF0CAC"/>
    <w:rsid w:val="64490C92"/>
    <w:rsid w:val="72BB477E"/>
    <w:rsid w:val="743334DA"/>
    <w:rsid w:val="754C48A1"/>
    <w:rsid w:val="785716A5"/>
    <w:rsid w:val="7D44161B"/>
    <w:rsid w:val="7D726BF8"/>
    <w:rsid w:val="7F2D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pPr>
    <w:rPr>
      <w:rFonts w:ascii="宋体" w:hAnsi="宋体" w:cs="宋体"/>
    </w:rPr>
  </w:style>
  <w:style w:type="character" w:styleId="7">
    <w:name w:val="Hyperlink"/>
    <w:basedOn w:val="6"/>
    <w:semiHidden/>
    <w:unhideWhenUsed/>
    <w:qFormat/>
    <w:uiPriority w:val="99"/>
    <w:rPr>
      <w:color w:val="0000FF"/>
      <w:u w:val="single"/>
    </w:rPr>
  </w:style>
  <w:style w:type="paragraph" w:customStyle="1" w:styleId="8">
    <w:name w:val="Header or footer|1"/>
    <w:basedOn w:val="1"/>
    <w:qFormat/>
    <w:uiPriority w:val="0"/>
    <w:rPr>
      <w:sz w:val="26"/>
      <w:szCs w:val="26"/>
      <w:lang w:val="zh-TW" w:eastAsia="zh-TW" w:bidi="zh-TW"/>
    </w:rPr>
  </w:style>
  <w:style w:type="paragraph" w:customStyle="1" w:styleId="9">
    <w:name w:val="Other|2"/>
    <w:basedOn w:val="1"/>
    <w:qFormat/>
    <w:uiPriority w:val="0"/>
    <w:pPr>
      <w:spacing w:before="90"/>
      <w:jc w:val="center"/>
    </w:pPr>
    <w:rPr>
      <w:rFonts w:ascii="宋体" w:hAnsi="宋体" w:eastAsia="宋体" w:cs="宋体"/>
      <w:sz w:val="20"/>
      <w:szCs w:val="20"/>
      <w:lang w:val="zh-TW" w:eastAsia="zh-TW" w:bidi="zh-TW"/>
    </w:rPr>
  </w:style>
  <w:style w:type="paragraph" w:customStyle="1" w:styleId="10">
    <w:name w:val="Body text|1"/>
    <w:basedOn w:val="1"/>
    <w:qFormat/>
    <w:uiPriority w:val="0"/>
    <w:pPr>
      <w:spacing w:line="593" w:lineRule="exact"/>
      <w:ind w:firstLine="610"/>
    </w:pPr>
    <w:rPr>
      <w:rFonts w:ascii="宋体" w:hAnsi="宋体" w:eastAsia="宋体" w:cs="宋体"/>
      <w:sz w:val="26"/>
      <w:szCs w:val="26"/>
      <w:lang w:val="zh-TW" w:eastAsia="zh-TW" w:bidi="zh-TW"/>
    </w:rPr>
  </w:style>
  <w:style w:type="paragraph" w:customStyle="1" w:styleId="11">
    <w:name w:val="Other|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1131</Words>
  <Characters>6452</Characters>
  <Lines>53</Lines>
  <Paragraphs>15</Paragraphs>
  <TotalTime>36</TotalTime>
  <ScaleCrop>false</ScaleCrop>
  <LinksUpToDate>false</LinksUpToDate>
  <CharactersWithSpaces>7568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2021-11-02T01:59:00Z</dcterms:created>
  <dc:creator>p</dc:creator>
  <cp:lastModifiedBy>lenovo</cp:lastModifiedBy>
  <cp:lastPrinted>2021-11-02T02:00:00Z</cp:lastPrinted>
  <dcterms:modified xsi:type="dcterms:W3CDTF">2022-01-20T06:21:18Z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BB14D37936B1419980D1EF9CECAEBA2C</vt:lpwstr>
  </property>
</Properties>
</file>