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eastAsia="方正小标宋简体"/>
          <w:color w:val="auto"/>
          <w:sz w:val="44"/>
          <w:szCs w:val="44"/>
          <w:lang w:val="en-US" w:eastAsia="zh-CN"/>
        </w:rPr>
      </w:pPr>
      <w:r>
        <w:rPr>
          <w:rFonts w:hint="eastAsia" w:ascii="方正小标宋简体" w:hAnsi="方正小标宋简体" w:eastAsia="方正小标宋简体"/>
          <w:color w:val="auto"/>
          <w:sz w:val="44"/>
          <w:szCs w:val="44"/>
          <w:lang w:val="en-US" w:eastAsia="zh-CN"/>
        </w:rPr>
        <w:t>市中区市场监督管理局</w:t>
      </w:r>
    </w:p>
    <w:p>
      <w:pPr>
        <w:jc w:val="center"/>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lang w:eastAsia="zh-CN"/>
        </w:rPr>
        <w:t>202</w:t>
      </w:r>
      <w:r>
        <w:rPr>
          <w:rFonts w:hint="eastAsia" w:ascii="方正小标宋简体" w:eastAsia="方正小标宋简体"/>
          <w:color w:val="auto"/>
          <w:sz w:val="44"/>
          <w:szCs w:val="44"/>
          <w:lang w:val="en-US" w:eastAsia="zh-CN"/>
        </w:rPr>
        <w:t>1</w:t>
      </w:r>
      <w:r>
        <w:rPr>
          <w:rFonts w:hint="eastAsia" w:ascii="方正小标宋简体" w:hAnsi="方正小标宋简体" w:eastAsia="方正小标宋简体"/>
          <w:color w:val="auto"/>
          <w:sz w:val="44"/>
          <w:szCs w:val="44"/>
          <w:lang w:eastAsia="zh-CN"/>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eastAsia="仿宋_GB2312"/>
          <w:color w:val="auto"/>
          <w:sz w:val="32"/>
          <w:szCs w:val="32"/>
          <w:shd w:val="clear" w:color="auto" w:fill="FFFFFF"/>
          <w:lang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eastAsia="zh-CN"/>
        </w:rPr>
      </w:pPr>
      <w:r>
        <w:rPr>
          <w:rFonts w:eastAsia="仿宋_GB2312"/>
          <w:color w:val="auto"/>
          <w:sz w:val="32"/>
          <w:szCs w:val="32"/>
          <w:shd w:val="clear" w:color="auto" w:fill="FFFFFF"/>
          <w:lang w:eastAsia="zh-CN"/>
        </w:rPr>
        <w:t>根据《中华人民共和国政府信息公开条例》、《</w:t>
      </w:r>
      <w:r>
        <w:rPr>
          <w:rFonts w:hint="eastAsia" w:eastAsia="仿宋_GB2312"/>
          <w:color w:val="auto"/>
          <w:sz w:val="32"/>
          <w:szCs w:val="32"/>
          <w:shd w:val="clear" w:color="auto" w:fill="FFFFFF"/>
          <w:lang w:eastAsia="zh-CN"/>
        </w:rPr>
        <w:t>国务院办公厅政府信息与政务公开办公室关于印发《中华人民共和国政府信息公开工作年度报告格式》的通知</w:t>
      </w:r>
      <w:r>
        <w:rPr>
          <w:rFonts w:eastAsia="仿宋_GB2312"/>
          <w:color w:val="auto"/>
          <w:sz w:val="32"/>
          <w:szCs w:val="32"/>
          <w:shd w:val="clear" w:color="auto" w:fill="FFFFFF"/>
          <w:lang w:eastAsia="zh-CN"/>
        </w:rPr>
        <w:t>》（国办公开办函〔20</w:t>
      </w:r>
      <w:r>
        <w:rPr>
          <w:rFonts w:hint="eastAsia" w:eastAsia="仿宋_GB2312"/>
          <w:color w:val="auto"/>
          <w:sz w:val="32"/>
          <w:szCs w:val="32"/>
          <w:shd w:val="clear" w:color="auto" w:fill="FFFFFF"/>
          <w:lang w:val="en-US" w:eastAsia="zh-CN"/>
        </w:rPr>
        <w:t>21</w:t>
      </w:r>
      <w:r>
        <w:rPr>
          <w:rFonts w:eastAsia="仿宋_GB2312"/>
          <w:color w:val="auto"/>
          <w:sz w:val="32"/>
          <w:szCs w:val="32"/>
          <w:shd w:val="clear" w:color="auto" w:fill="FFFFFF"/>
          <w:lang w:eastAsia="zh-CN"/>
        </w:rPr>
        <w:t>〕</w:t>
      </w:r>
      <w:r>
        <w:rPr>
          <w:rFonts w:hint="eastAsia" w:eastAsia="仿宋_GB2312"/>
          <w:color w:val="auto"/>
          <w:sz w:val="32"/>
          <w:szCs w:val="32"/>
          <w:shd w:val="clear" w:color="auto" w:fill="FFFFFF"/>
          <w:lang w:val="en-US" w:eastAsia="zh-CN"/>
        </w:rPr>
        <w:t>30</w:t>
      </w:r>
      <w:r>
        <w:rPr>
          <w:rFonts w:eastAsia="仿宋_GB2312"/>
          <w:color w:val="auto"/>
          <w:sz w:val="32"/>
          <w:szCs w:val="32"/>
          <w:shd w:val="clear" w:color="auto" w:fill="FFFFFF"/>
          <w:lang w:eastAsia="zh-CN"/>
        </w:rPr>
        <w:t>号）和省、</w:t>
      </w:r>
      <w:r>
        <w:rPr>
          <w:rFonts w:hint="eastAsia" w:eastAsia="仿宋_GB2312"/>
          <w:color w:val="auto"/>
          <w:sz w:val="32"/>
          <w:szCs w:val="32"/>
          <w:shd w:val="clear" w:color="auto" w:fill="FFFFFF"/>
          <w:lang w:val="en-US" w:eastAsia="zh-CN"/>
        </w:rPr>
        <w:t>市</w:t>
      </w:r>
      <w:r>
        <w:rPr>
          <w:rFonts w:eastAsia="仿宋_GB2312"/>
          <w:color w:val="auto"/>
          <w:sz w:val="32"/>
          <w:szCs w:val="32"/>
          <w:shd w:val="clear" w:color="auto" w:fill="FFFFFF"/>
          <w:lang w:eastAsia="zh-CN"/>
        </w:rPr>
        <w:t>有关工作要求，编制本报告并向社会公开。本年度报告电子版可从</w:t>
      </w:r>
      <w:r>
        <w:rPr>
          <w:rFonts w:hint="eastAsia" w:eastAsia="仿宋_GB2312"/>
          <w:color w:val="auto"/>
          <w:sz w:val="32"/>
          <w:szCs w:val="32"/>
          <w:shd w:val="clear" w:color="auto" w:fill="FFFFFF"/>
          <w:lang w:val="en-US" w:eastAsia="zh-CN"/>
        </w:rPr>
        <w:t>市中区</w:t>
      </w:r>
      <w:r>
        <w:rPr>
          <w:rFonts w:eastAsia="仿宋_GB2312"/>
          <w:color w:val="auto"/>
          <w:sz w:val="32"/>
          <w:szCs w:val="32"/>
          <w:shd w:val="clear" w:color="auto" w:fill="FFFFFF"/>
          <w:lang w:eastAsia="zh-CN"/>
        </w:rPr>
        <w:t>人民政府门户网站</w:t>
      </w:r>
      <w:r>
        <w:rPr>
          <w:rFonts w:hint="eastAsia"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http://www.zzszq.gov.cn/</w:t>
      </w:r>
      <w:r>
        <w:rPr>
          <w:rFonts w:hint="eastAsia" w:eastAsia="仿宋_GB2312"/>
          <w:color w:val="auto"/>
          <w:sz w:val="32"/>
          <w:szCs w:val="32"/>
          <w:shd w:val="clear" w:color="auto" w:fill="FFFFFF"/>
          <w:lang w:eastAsia="zh-CN"/>
        </w:rPr>
        <w:t>）查阅或下载。本报告所列数据的统计</w:t>
      </w:r>
      <w:r>
        <w:rPr>
          <w:rFonts w:hint="eastAsia" w:eastAsia="仿宋_GB2312"/>
          <w:color w:val="auto"/>
          <w:sz w:val="32"/>
          <w:szCs w:val="32"/>
          <w:shd w:val="clear" w:color="auto" w:fill="FFFFFF"/>
          <w:lang w:val="en-US" w:eastAsia="zh-CN"/>
        </w:rPr>
        <w:t>期</w:t>
      </w:r>
      <w:r>
        <w:rPr>
          <w:rFonts w:hint="eastAsia" w:eastAsia="仿宋_GB2312"/>
          <w:color w:val="auto"/>
          <w:sz w:val="32"/>
          <w:szCs w:val="32"/>
          <w:shd w:val="clear" w:color="auto" w:fill="FFFFFF"/>
          <w:lang w:eastAsia="zh-CN"/>
        </w:rPr>
        <w:t>限自202</w:t>
      </w: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hint="eastAsia"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hint="eastAsia"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hint="eastAsia"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市中区市场监督管理局</w:t>
      </w:r>
      <w:r>
        <w:rPr>
          <w:rFonts w:hint="eastAsia"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枣庄市市中区建华西路100号</w:t>
      </w:r>
      <w:r>
        <w:rPr>
          <w:rFonts w:hint="eastAsia"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hint="eastAsia"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0632-3210686</w:t>
      </w:r>
      <w:r>
        <w:rPr>
          <w:rFonts w:hint="eastAsia"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电子邮箱：</w:t>
      </w:r>
      <w:r>
        <w:rPr>
          <w:rFonts w:hint="eastAsia" w:eastAsia="仿宋_GB2312"/>
          <w:color w:val="auto"/>
          <w:sz w:val="32"/>
          <w:szCs w:val="32"/>
          <w:shd w:val="clear" w:color="auto" w:fill="FFFFFF"/>
          <w:lang w:val="en-US" w:eastAsia="zh-CN"/>
        </w:rPr>
        <w:t>szqscjdgljadmin@zz.shandong.cn</w:t>
      </w:r>
      <w:r>
        <w:rPr>
          <w:rFonts w:hint="eastAsia" w:eastAsia="仿宋_GB2312"/>
          <w:color w:val="auto"/>
          <w:sz w:val="32"/>
          <w:szCs w:val="32"/>
          <w:shd w:val="clear" w:color="auto" w:fill="FFFFFF"/>
          <w:lang w:eastAsia="zh-CN"/>
        </w:rPr>
        <w:t>）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eastAsia="zh-CN"/>
        </w:rPr>
        <w:t>—、总体情况</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2021年，市中区市场监督管理局认真贯彻落实党中央、国务院和省、市、区关于政府信息公开工作的部署要求，进一步调整优化公开目录，深入拓展公开渠道，持续丰富公开形式，及时回应社会关切，不断提升政府信息公开工作力度和实效，全面深化政务公开，持续规范推进政府信息公开，以公开促落实、促规范、促服务，有效促进了政务公开工作的常态化、规范化、标准化水平，政府信息公开水平实现新的突破。</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（一）主动公开情况</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hint="default" w:ascii="Times New Roman" w:hAnsi="Times New Roman" w:eastAsia="仿宋_GB2312" w:cs="Times New Roman"/>
          <w:color w:val="auto"/>
          <w:kern w:val="0"/>
          <w:sz w:val="32"/>
          <w:szCs w:val="32"/>
          <w:shd w:val="clear" w:color="auto" w:fill="FFFFFF"/>
          <w:lang w:val="en-US" w:eastAsia="zh-CN" w:bidi="en-US"/>
        </w:rPr>
      </w:pPr>
      <w:r>
        <w:rPr>
          <w:rFonts w:hint="eastAsia" w:hAnsi="黑体" w:eastAsia="黑体"/>
          <w:bCs/>
          <w:color w:val="auto"/>
          <w:sz w:val="32"/>
          <w:szCs w:val="32"/>
          <w:lang w:val="en-US" w:eastAsia="zh-CN"/>
        </w:rPr>
        <w:t xml:space="preserve">  </w:t>
      </w:r>
      <w:r>
        <w:rPr>
          <w:rFonts w:hint="eastAsia" w:ascii="仿宋_GB2312" w:hAnsi="仿宋_GB2312" w:eastAsia="仿宋_GB2312" w:cs="仿宋_GB2312"/>
          <w:bCs/>
          <w:color w:val="C00000"/>
          <w:sz w:val="32"/>
          <w:szCs w:val="32"/>
          <w:lang w:val="en-US" w:eastAsia="zh-CN"/>
        </w:rPr>
        <w:t xml:space="preserve">  </w:t>
      </w:r>
      <w:r>
        <w:rPr>
          <w:rFonts w:hint="eastAsia" w:ascii="Times New Roman" w:hAnsi="Times New Roman" w:eastAsia="仿宋_GB2312" w:cs="Times New Roman"/>
          <w:color w:val="auto"/>
          <w:kern w:val="0"/>
          <w:sz w:val="32"/>
          <w:szCs w:val="32"/>
          <w:shd w:val="clear" w:color="auto" w:fill="FFFFFF"/>
          <w:lang w:val="en-US" w:eastAsia="zh-CN" w:bidi="en-US"/>
        </w:rPr>
        <w:t>主动公开信息226条，其中在政府门户网站公开85条，政务新媒体公开114条，其他渠道公开27条。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Cs/>
          <w:color w:val="auto"/>
          <w:sz w:val="32"/>
          <w:szCs w:val="32"/>
          <w:lang w:eastAsia="zh-CN"/>
        </w:rPr>
      </w:pPr>
      <w:r>
        <w:rPr>
          <w:rFonts w:hAnsi="黑体" w:eastAsia="黑体"/>
          <w:bCs/>
          <w:color w:val="auto"/>
          <w:sz w:val="32"/>
          <w:szCs w:val="32"/>
          <w:lang w:eastAsia="zh-CN"/>
        </w:rPr>
        <w:t>（</w:t>
      </w:r>
      <w:r>
        <w:rPr>
          <w:rFonts w:hint="eastAsia" w:ascii="楷体" w:hAnsi="楷体" w:eastAsia="楷体" w:cs="楷体"/>
          <w:bCs/>
          <w:color w:val="auto"/>
          <w:sz w:val="32"/>
          <w:szCs w:val="32"/>
          <w:lang w:eastAsia="zh-CN"/>
        </w:rPr>
        <w:t>二）依申请公开办理情况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共受理政府信息公开申请</w:t>
      </w:r>
      <w:r>
        <w:rPr>
          <w:rFonts w:hint="eastAsia" w:ascii="仿宋_GB2312" w:eastAsia="仿宋_GB2312"/>
          <w:color w:val="auto"/>
          <w:sz w:val="32"/>
          <w:szCs w:val="32"/>
          <w:shd w:val="clear" w:color="auto" w:fill="FFFFFF"/>
          <w:lang w:val="en-US" w:eastAsia="zh-CN"/>
        </w:rPr>
        <w:t>6</w:t>
      </w:r>
      <w:r>
        <w:rPr>
          <w:rFonts w:hint="eastAsia" w:ascii="仿宋_GB2312" w:eastAsia="仿宋_GB2312"/>
          <w:color w:val="auto"/>
          <w:sz w:val="32"/>
          <w:szCs w:val="32"/>
          <w:shd w:val="clear" w:color="auto" w:fill="FFFFFF"/>
          <w:lang w:eastAsia="zh-CN"/>
        </w:rPr>
        <w:t>件，其中予以公开申请</w:t>
      </w:r>
      <w:r>
        <w:rPr>
          <w:rFonts w:hint="eastAsia" w:ascii="仿宋_GB2312" w:eastAsia="仿宋_GB2312"/>
          <w:color w:val="auto"/>
          <w:sz w:val="32"/>
          <w:szCs w:val="32"/>
          <w:shd w:val="clear" w:color="auto" w:fill="FFFFFF"/>
          <w:lang w:val="en-US" w:eastAsia="zh-CN"/>
        </w:rPr>
        <w:t>4</w:t>
      </w:r>
      <w:r>
        <w:rPr>
          <w:rFonts w:hint="eastAsia" w:ascii="仿宋_GB2312" w:eastAsia="仿宋_GB2312"/>
          <w:color w:val="auto"/>
          <w:sz w:val="32"/>
          <w:szCs w:val="32"/>
          <w:shd w:val="clear" w:color="auto" w:fill="FFFFFF"/>
          <w:lang w:eastAsia="zh-CN"/>
        </w:rPr>
        <w:t>件，无法提供</w:t>
      </w:r>
      <w:r>
        <w:rPr>
          <w:rFonts w:hint="eastAsia" w:ascii="仿宋_GB2312" w:eastAsia="仿宋_GB2312"/>
          <w:color w:val="auto"/>
          <w:sz w:val="32"/>
          <w:szCs w:val="32"/>
          <w:shd w:val="clear" w:color="auto" w:fill="FFFFFF"/>
          <w:lang w:val="en-US" w:eastAsia="zh-CN"/>
        </w:rPr>
        <w:t>2</w:t>
      </w:r>
      <w:r>
        <w:rPr>
          <w:rFonts w:hint="eastAsia" w:ascii="仿宋_GB2312" w:eastAsia="仿宋_GB2312"/>
          <w:color w:val="auto"/>
          <w:sz w:val="32"/>
          <w:szCs w:val="32"/>
          <w:shd w:val="clear" w:color="auto" w:fill="FFFFFF"/>
          <w:lang w:eastAsia="zh-CN"/>
        </w:rPr>
        <w:t>件，均在法定期限内予以答复。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全年无因政府信息公开被申请行政复议事件，无因公民、法人和其他组织认为行政机关政府信息公开工作具体行政行为侵犯其合法权益，提起行政诉讼事件。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（三）政府信息管理情况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一是完善信息公开管理流程。建立政府信息公开工作全流程管理机制，安排专人负责信息公开传送和平台管理。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二是严格做好公开信息保密审查。认真落实《中华人民共和国保守国家秘密法》《中华人民共和国政府信息公开条例》等规定，按照“先审查、后公开”的原则，严格做好政府信息公开保密审查，确保公开信息不涉密、涉密信息不公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shd w:val="clear" w:color="auto" w:fill="FFFFFF"/>
          <w:lang w:eastAsia="zh-CN"/>
        </w:rPr>
      </w:pPr>
      <w:r>
        <w:rPr>
          <w:rFonts w:hint="eastAsia" w:ascii="仿宋_GB2312" w:eastAsia="仿宋_GB2312"/>
          <w:color w:val="auto"/>
          <w:sz w:val="32"/>
          <w:szCs w:val="32"/>
          <w:shd w:val="clear" w:color="auto" w:fill="FFFFFF"/>
          <w:lang w:eastAsia="zh-CN"/>
        </w:rPr>
        <w:t>三是不断完善公开制度机制。202</w:t>
      </w:r>
      <w:r>
        <w:rPr>
          <w:rFonts w:hint="eastAsia" w:ascii="仿宋_GB2312" w:eastAsia="仿宋_GB2312"/>
          <w:color w:val="auto"/>
          <w:sz w:val="32"/>
          <w:szCs w:val="32"/>
          <w:shd w:val="clear" w:color="auto" w:fill="FFFFFF"/>
          <w:lang w:val="en-US" w:eastAsia="zh-CN"/>
        </w:rPr>
        <w:t>1</w:t>
      </w:r>
      <w:r>
        <w:rPr>
          <w:rFonts w:hint="eastAsia" w:ascii="仿宋_GB2312" w:eastAsia="仿宋_GB2312"/>
          <w:color w:val="auto"/>
          <w:sz w:val="32"/>
          <w:szCs w:val="32"/>
          <w:shd w:val="clear" w:color="auto" w:fill="FFFFFF"/>
          <w:lang w:eastAsia="zh-CN"/>
        </w:rPr>
        <w:t>年，全面落实“以公开为常态、不公开为例外”要求，主动、及时、规范、准确公开应当公开的政府信息，切实做到应公开尽公开，不断提升公开常态化、规范化、标准化水平。</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（四）平台建设情况</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5"/>
        <w:textAlignment w:val="auto"/>
        <w:rPr>
          <w:rFonts w:eastAsia="仿宋_GB2312"/>
          <w:color w:val="auto"/>
          <w:sz w:val="32"/>
          <w:szCs w:val="32"/>
          <w:lang w:eastAsia="zh-CN" w:bidi="ar-SA"/>
        </w:rPr>
      </w:pPr>
      <w:r>
        <w:rPr>
          <w:rFonts w:eastAsia="仿宋_GB2312"/>
          <w:color w:val="auto"/>
          <w:sz w:val="32"/>
          <w:szCs w:val="32"/>
          <w:shd w:val="clear" w:color="auto" w:fill="FFFFFF"/>
          <w:lang w:eastAsia="zh-CN"/>
        </w:rPr>
        <w:t>依托“政府网站”等平台发布信息，推动政务公开信息向不同群体精准推送，提升群众获取政府信息的便利度和幸福感。</w:t>
      </w:r>
      <w:r>
        <w:rPr>
          <w:rFonts w:eastAsia="仿宋_GB2312"/>
          <w:color w:val="auto"/>
          <w:sz w:val="32"/>
          <w:szCs w:val="32"/>
          <w:lang w:eastAsia="zh-CN" w:bidi="ar-SA"/>
        </w:rPr>
        <w:t>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ascii="楷体" w:hAnsi="楷体" w:eastAsia="楷体" w:cs="楷体"/>
          <w:bCs/>
          <w:color w:val="auto"/>
          <w:sz w:val="32"/>
          <w:szCs w:val="32"/>
          <w:lang w:eastAsia="zh-CN"/>
        </w:rPr>
      </w:pPr>
      <w:r>
        <w:rPr>
          <w:rFonts w:hint="eastAsia" w:ascii="楷体" w:hAnsi="楷体" w:eastAsia="楷体" w:cs="楷体"/>
          <w:bCs/>
          <w:color w:val="auto"/>
          <w:sz w:val="32"/>
          <w:szCs w:val="32"/>
          <w:lang w:eastAsia="zh-CN"/>
        </w:rPr>
        <w:t>（五）监督保障方面</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hint="default" w:ascii="Times New Roman" w:hAnsi="Times New Roman" w:eastAsia="仿宋_GB2312" w:cs="Times New Roman"/>
          <w:color w:val="C00000"/>
          <w:sz w:val="32"/>
          <w:szCs w:val="32"/>
          <w:lang w:val="en-US" w:eastAsia="zh-CN" w:bidi="ar-SA"/>
        </w:rPr>
      </w:pPr>
      <w:r>
        <w:rPr>
          <w:rFonts w:hint="eastAsia" w:eastAsia="仿宋_GB2312"/>
          <w:color w:val="auto"/>
          <w:sz w:val="32"/>
          <w:szCs w:val="32"/>
          <w:shd w:val="clear" w:color="auto" w:fill="FFFFFF"/>
          <w:lang w:val="en-US" w:eastAsia="zh-CN"/>
        </w:rPr>
        <w:t>为加强对政务公开工作的组织领导，区市场监管局成立了政务公开工作领导小组，</w:t>
      </w:r>
      <w:r>
        <w:rPr>
          <w:rFonts w:hint="eastAsia" w:eastAsia="仿宋_GB2312"/>
          <w:color w:val="000000"/>
          <w:sz w:val="32"/>
        </w:rPr>
        <w:t>党组成员、知识产权事业发展中心主任高欢欢</w:t>
      </w:r>
      <w:r>
        <w:rPr>
          <w:rFonts w:hint="eastAsia" w:eastAsia="仿宋_GB2312"/>
          <w:color w:val="000000"/>
          <w:sz w:val="32"/>
          <w:lang w:eastAsia="zh-CN"/>
        </w:rPr>
        <w:t>任</w:t>
      </w:r>
      <w:r>
        <w:rPr>
          <w:rFonts w:hint="eastAsia" w:eastAsia="仿宋_GB2312"/>
          <w:color w:val="auto"/>
          <w:sz w:val="32"/>
          <w:szCs w:val="32"/>
          <w:shd w:val="clear" w:color="auto" w:fill="FFFFFF"/>
          <w:lang w:val="en-US" w:eastAsia="zh-CN"/>
        </w:rPr>
        <w:t>领导小组组长</w:t>
      </w:r>
      <w:r>
        <w:rPr>
          <w:rFonts w:hint="eastAsia" w:eastAsia="仿宋_GB2312"/>
          <w:color w:val="000000"/>
          <w:sz w:val="32"/>
          <w:lang w:eastAsia="zh-CN"/>
        </w:rPr>
        <w:t>，四级主办郑光、曹进春任副组长，食品协调室、法制室、办公室等相关科室主要负责人为成员，</w:t>
      </w:r>
      <w:r>
        <w:rPr>
          <w:rFonts w:hint="eastAsia" w:ascii="仿宋" w:hAnsi="仿宋" w:eastAsia="仿宋" w:cs="FangSong_GB2312"/>
          <w:color w:val="000000"/>
          <w:kern w:val="0"/>
          <w:sz w:val="32"/>
          <w:szCs w:val="32"/>
        </w:rPr>
        <w:t>负责统一领导、组织、协调、考核全</w:t>
      </w:r>
      <w:r>
        <w:rPr>
          <w:rFonts w:hint="eastAsia" w:ascii="仿宋" w:hAnsi="仿宋" w:eastAsia="仿宋" w:cs="FangSong_GB2312"/>
          <w:color w:val="000000"/>
          <w:kern w:val="0"/>
          <w:sz w:val="32"/>
          <w:szCs w:val="32"/>
          <w:lang w:eastAsia="zh-CN"/>
        </w:rPr>
        <w:t>局</w:t>
      </w:r>
      <w:r>
        <w:rPr>
          <w:rFonts w:hint="eastAsia" w:eastAsia="仿宋_GB2312"/>
          <w:color w:val="auto"/>
          <w:sz w:val="32"/>
          <w:szCs w:val="32"/>
          <w:shd w:val="clear" w:color="auto" w:fill="FFFFFF"/>
          <w:lang w:val="en-US" w:eastAsia="zh-CN"/>
        </w:rPr>
        <w:t>政务公开工作</w:t>
      </w:r>
      <w:r>
        <w:rPr>
          <w:rFonts w:hint="eastAsia" w:ascii="仿宋" w:hAnsi="仿宋" w:eastAsia="仿宋" w:cs="FangSong_GB2312"/>
          <w:color w:val="000000"/>
          <w:kern w:val="0"/>
          <w:sz w:val="32"/>
          <w:szCs w:val="32"/>
        </w:rPr>
        <w:t>。</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仿宋_GB2312" w:cs="Times New Roman"/>
          <w:color w:val="auto"/>
          <w:sz w:val="32"/>
          <w:szCs w:val="32"/>
          <w:lang w:eastAsia="zh-CN" w:bidi="ar-SA"/>
        </w:rPr>
      </w:pP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5"/>
        <w:textAlignment w:val="auto"/>
        <w:rPr>
          <w:rFonts w:ascii="Times New Roman" w:hAnsi="Times New Roman" w:eastAsia="仿宋_GB2312" w:cs="Times New Roman"/>
          <w:color w:val="auto"/>
          <w:sz w:val="32"/>
          <w:szCs w:val="32"/>
          <w:lang w:eastAsia="zh-CN" w:bidi="ar-SA"/>
        </w:rPr>
      </w:pPr>
    </w:p>
    <w:p>
      <w:pPr>
        <w:pStyle w:val="7"/>
        <w:keepNext w:val="0"/>
        <w:keepLines w:val="0"/>
        <w:pageBreakBefore w:val="0"/>
        <w:kinsoku/>
        <w:wordWrap/>
        <w:overflowPunct/>
        <w:topLinePunct w:val="0"/>
        <w:autoSpaceDE/>
        <w:autoSpaceDN/>
        <w:bidi w:val="0"/>
        <w:adjustRightInd/>
        <w:snapToGrid/>
        <w:spacing w:line="560" w:lineRule="exact"/>
        <w:ind w:firstLine="580"/>
        <w:textAlignment w:val="auto"/>
        <w:rPr>
          <w:rFonts w:ascii="Times New Roman" w:hAnsi="Times New Roman" w:eastAsia="黑体" w:cs="Times New Roman"/>
          <w:color w:val="auto"/>
          <w:sz w:val="32"/>
          <w:szCs w:val="32"/>
        </w:rPr>
      </w:pPr>
      <w:r>
        <w:rPr>
          <w:rFonts w:ascii="Times New Roman" w:hAnsi="黑体" w:eastAsia="黑体" w:cs="Times New Roman"/>
          <w:bCs/>
          <w:color w:val="auto"/>
          <w:sz w:val="32"/>
          <w:szCs w:val="32"/>
        </w:rPr>
        <w:t>二、主动公开政府信息情况</w:t>
      </w:r>
    </w:p>
    <w:tbl>
      <w:tblPr>
        <w:tblStyle w:val="4"/>
        <w:tblW w:w="8722" w:type="dxa"/>
        <w:jc w:val="center"/>
        <w:tblInd w:w="0" w:type="dxa"/>
        <w:tblLayout w:type="fixed"/>
        <w:tblCellMar>
          <w:top w:w="0" w:type="dxa"/>
          <w:left w:w="10" w:type="dxa"/>
          <w:bottom w:w="0" w:type="dxa"/>
          <w:right w:w="10" w:type="dxa"/>
        </w:tblCellMar>
      </w:tblPr>
      <w:tblGrid>
        <w:gridCol w:w="3115"/>
        <w:gridCol w:w="2146"/>
        <w:gridCol w:w="1610"/>
        <w:gridCol w:w="1851"/>
      </w:tblGrid>
      <w:tr>
        <w:tblPrEx>
          <w:tblLayout w:type="fixed"/>
          <w:tblCellMar>
            <w:top w:w="0" w:type="dxa"/>
            <w:left w:w="10" w:type="dxa"/>
            <w:bottom w:w="0" w:type="dxa"/>
            <w:right w:w="10" w:type="dxa"/>
          </w:tblCellMar>
        </w:tblPrEx>
        <w:trPr>
          <w:trHeight w:val="581" w:hRule="exact"/>
          <w:jc w:val="center"/>
        </w:trPr>
        <w:tc>
          <w:tcPr>
            <w:tcW w:w="8722" w:type="dxa"/>
            <w:gridSpan w:val="4"/>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第二十条第（一）项</w:t>
            </w:r>
          </w:p>
        </w:tc>
      </w:tr>
      <w:tr>
        <w:tblPrEx>
          <w:tblLayout w:type="fixed"/>
          <w:tblCellMar>
            <w:top w:w="0" w:type="dxa"/>
            <w:left w:w="10" w:type="dxa"/>
            <w:bottom w:w="0" w:type="dxa"/>
            <w:right w:w="10" w:type="dxa"/>
          </w:tblCellMar>
        </w:tblPrEx>
        <w:trPr>
          <w:trHeight w:val="566" w:hRule="exact"/>
          <w:jc w:val="center"/>
        </w:trPr>
        <w:tc>
          <w:tcPr>
            <w:tcW w:w="3115"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1060"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本年新制作数量</w:t>
            </w:r>
          </w:p>
        </w:tc>
        <w:tc>
          <w:tcPr>
            <w:tcW w:w="1610"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本年新公开数量</w:t>
            </w:r>
          </w:p>
        </w:tc>
        <w:tc>
          <w:tcPr>
            <w:tcW w:w="1851" w:type="dxa"/>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对外公开总数量</w:t>
            </w:r>
          </w:p>
        </w:tc>
      </w:tr>
      <w:tr>
        <w:tblPrEx>
          <w:tblLayout w:type="fixed"/>
          <w:tblCellMar>
            <w:top w:w="0" w:type="dxa"/>
            <w:left w:w="10" w:type="dxa"/>
            <w:bottom w:w="0" w:type="dxa"/>
            <w:right w:w="10" w:type="dxa"/>
          </w:tblCellMar>
        </w:tblPrEx>
        <w:trPr>
          <w:trHeight w:val="446" w:hRule="exact"/>
          <w:jc w:val="center"/>
        </w:trPr>
        <w:tc>
          <w:tcPr>
            <w:tcW w:w="3115"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规章</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2"/>
                <w:szCs w:val="22"/>
                <w:lang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规范性文件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r>
        <w:tblPrEx>
          <w:tblLayout w:type="fixed"/>
          <w:tblCellMar>
            <w:top w:w="0" w:type="dxa"/>
            <w:left w:w="10" w:type="dxa"/>
            <w:bottom w:w="0" w:type="dxa"/>
            <w:right w:w="10" w:type="dxa"/>
          </w:tblCellMar>
        </w:tblPrEx>
        <w:trPr>
          <w:trHeight w:val="456"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第二十条第（五）项</w:t>
            </w:r>
          </w:p>
        </w:tc>
      </w:tr>
      <w:tr>
        <w:tblPrEx>
          <w:tblLayout w:type="fixed"/>
          <w:tblCellMar>
            <w:top w:w="0" w:type="dxa"/>
            <w:left w:w="10" w:type="dxa"/>
            <w:bottom w:w="0" w:type="dxa"/>
            <w:right w:w="10" w:type="dxa"/>
          </w:tblCellMar>
        </w:tblPrEx>
        <w:trPr>
          <w:trHeight w:val="562" w:hRule="exact"/>
          <w:jc w:val="center"/>
        </w:trPr>
        <w:tc>
          <w:tcPr>
            <w:tcW w:w="3115"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61" w:hRule="exact"/>
          <w:jc w:val="center"/>
        </w:trPr>
        <w:tc>
          <w:tcPr>
            <w:tcW w:w="3115"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行政许可</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0</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其他对外管理服务事项</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99</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增3</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color w:val="auto"/>
                <w:sz w:val="22"/>
                <w:szCs w:val="22"/>
                <w:lang w:val="en-US" w:eastAsia="zh-CN"/>
              </w:rPr>
            </w:pPr>
            <w:r>
              <w:rPr>
                <w:rFonts w:hint="eastAsia" w:ascii="仿宋_GB2312" w:hAnsi="仿宋_GB2312" w:eastAsia="仿宋_GB2312" w:cs="仿宋_GB2312"/>
                <w:color w:val="auto"/>
                <w:sz w:val="22"/>
                <w:szCs w:val="22"/>
                <w:lang w:val="en-US" w:eastAsia="zh-CN"/>
              </w:rPr>
              <w:t>14885</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第二十条第（六）项</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1610"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c>
          <w:tcPr>
            <w:tcW w:w="1851" w:type="dxa"/>
            <w:tcBorders>
              <w:top w:val="single" w:color="auto" w:sz="4" w:space="0"/>
              <w:left w:val="single" w:color="auto" w:sz="4" w:space="0"/>
              <w:righ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处理决定数量</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行政处罚</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601</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增12</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188</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vAlign w:val="bottom"/>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行政强制</w:t>
            </w:r>
          </w:p>
        </w:tc>
        <w:tc>
          <w:tcPr>
            <w:tcW w:w="214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20</w:t>
            </w:r>
          </w:p>
        </w:tc>
        <w:tc>
          <w:tcPr>
            <w:tcW w:w="1610"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1851"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53</w:t>
            </w:r>
          </w:p>
        </w:tc>
      </w:tr>
      <w:tr>
        <w:tblPrEx>
          <w:tblLayout w:type="fixed"/>
          <w:tblCellMar>
            <w:top w:w="0" w:type="dxa"/>
            <w:left w:w="10" w:type="dxa"/>
            <w:bottom w:w="0" w:type="dxa"/>
            <w:right w:w="10" w:type="dxa"/>
          </w:tblCellMar>
        </w:tblPrEx>
        <w:trPr>
          <w:trHeight w:val="451" w:hRule="exact"/>
          <w:jc w:val="center"/>
        </w:trPr>
        <w:tc>
          <w:tcPr>
            <w:tcW w:w="8722" w:type="dxa"/>
            <w:gridSpan w:val="4"/>
            <w:tcBorders>
              <w:top w:val="single" w:color="auto" w:sz="4" w:space="0"/>
              <w:left w:val="single" w:color="auto" w:sz="4" w:space="0"/>
              <w:righ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第二十条第（八）项</w:t>
            </w:r>
          </w:p>
        </w:tc>
      </w:tr>
      <w:tr>
        <w:tblPrEx>
          <w:tblLayout w:type="fixed"/>
          <w:tblCellMar>
            <w:top w:w="0" w:type="dxa"/>
            <w:left w:w="10" w:type="dxa"/>
            <w:bottom w:w="0" w:type="dxa"/>
            <w:right w:w="10" w:type="dxa"/>
          </w:tblCellMar>
        </w:tblPrEx>
        <w:trPr>
          <w:trHeight w:val="456" w:hRule="exact"/>
          <w:jc w:val="center"/>
        </w:trPr>
        <w:tc>
          <w:tcPr>
            <w:tcW w:w="3115"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left="1060"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信息内容</w:t>
            </w:r>
          </w:p>
        </w:tc>
        <w:tc>
          <w:tcPr>
            <w:tcW w:w="2146"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上一年项目数量</w:t>
            </w:r>
          </w:p>
        </w:tc>
        <w:tc>
          <w:tcPr>
            <w:tcW w:w="3461" w:type="dxa"/>
            <w:gridSpan w:val="2"/>
            <w:tcBorders>
              <w:top w:val="single" w:color="auto" w:sz="4" w:space="0"/>
              <w:left w:val="single" w:color="auto" w:sz="4" w:space="0"/>
              <w:righ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本年增/减</w:t>
            </w:r>
          </w:p>
        </w:tc>
      </w:tr>
      <w:tr>
        <w:tblPrEx>
          <w:tblLayout w:type="fixed"/>
          <w:tblCellMar>
            <w:top w:w="0" w:type="dxa"/>
            <w:left w:w="10" w:type="dxa"/>
            <w:bottom w:w="0" w:type="dxa"/>
            <w:right w:w="10" w:type="dxa"/>
          </w:tblCellMar>
        </w:tblPrEx>
        <w:trPr>
          <w:trHeight w:val="451" w:hRule="exact"/>
          <w:jc w:val="center"/>
        </w:trPr>
        <w:tc>
          <w:tcPr>
            <w:tcW w:w="3115" w:type="dxa"/>
            <w:tcBorders>
              <w:top w:val="single" w:color="auto" w:sz="4" w:space="0"/>
              <w:left w:val="single" w:color="auto" w:sz="4" w:space="0"/>
              <w:bottom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2"/>
                <w:szCs w:val="22"/>
              </w:rPr>
            </w:pPr>
            <w:r>
              <w:rPr>
                <w:rFonts w:hint="eastAsia" w:ascii="仿宋_GB2312" w:hAnsi="仿宋_GB2312" w:eastAsia="仿宋_GB2312" w:cs="仿宋_GB2312"/>
                <w:color w:val="auto"/>
                <w:sz w:val="22"/>
                <w:szCs w:val="22"/>
              </w:rPr>
              <w:t>行政事业性收费</w:t>
            </w:r>
          </w:p>
        </w:tc>
        <w:tc>
          <w:tcPr>
            <w:tcW w:w="214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c>
          <w:tcPr>
            <w:tcW w:w="3461"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2"/>
                <w:szCs w:val="22"/>
                <w:lang w:val="en-US" w:eastAsia="zh-CN"/>
              </w:rPr>
            </w:pPr>
            <w:r>
              <w:rPr>
                <w:rFonts w:hint="eastAsia" w:eastAsia="仿宋_GB2312"/>
                <w:color w:val="auto"/>
                <w:sz w:val="22"/>
                <w:szCs w:val="22"/>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sz w:val="2"/>
          <w:szCs w:val="2"/>
        </w:rPr>
      </w:pPr>
      <w:r>
        <w:rPr>
          <w:color w:val="auto"/>
        </w:rPr>
        <w:br w:type="page"/>
      </w:r>
    </w:p>
    <w:p>
      <w:pPr>
        <w:pStyle w:val="7"/>
        <w:keepNext w:val="0"/>
        <w:keepLines w:val="0"/>
        <w:pageBreakBefore w:val="0"/>
        <w:kinsoku/>
        <w:wordWrap/>
        <w:overflowPunct/>
        <w:topLinePunct w:val="0"/>
        <w:autoSpaceDE/>
        <w:autoSpaceDN/>
        <w:bidi w:val="0"/>
        <w:adjustRightInd/>
        <w:snapToGrid/>
        <w:spacing w:line="560" w:lineRule="exact"/>
        <w:ind w:firstLine="600"/>
        <w:textAlignment w:val="auto"/>
        <w:rPr>
          <w:rFonts w:ascii="Times New Roman" w:hAnsi="Times New Roman" w:eastAsia="黑体" w:cs="Times New Roman"/>
          <w:color w:val="auto"/>
          <w:sz w:val="32"/>
          <w:szCs w:val="32"/>
        </w:rPr>
      </w:pPr>
      <w:r>
        <w:rPr>
          <w:rFonts w:ascii="Times New Roman" w:hAnsi="Times New Roman" w:eastAsia="黑体" w:cs="Times New Roman"/>
          <w:bCs/>
          <w:color w:val="auto"/>
          <w:sz w:val="32"/>
          <w:szCs w:val="32"/>
        </w:rPr>
        <w:t>三、收到和处理政府信息公开申请情况</w:t>
      </w:r>
    </w:p>
    <w:tbl>
      <w:tblPr>
        <w:tblStyle w:val="4"/>
        <w:tblW w:w="8721" w:type="dxa"/>
        <w:jc w:val="center"/>
        <w:tblInd w:w="0" w:type="dxa"/>
        <w:tblLayout w:type="fixed"/>
        <w:tblCellMar>
          <w:top w:w="0" w:type="dxa"/>
          <w:left w:w="10" w:type="dxa"/>
          <w:bottom w:w="0" w:type="dxa"/>
          <w:right w:w="10" w:type="dxa"/>
        </w:tblCellMar>
      </w:tblPr>
      <w:tblGrid>
        <w:gridCol w:w="518"/>
        <w:gridCol w:w="1414"/>
        <w:gridCol w:w="2709"/>
        <w:gridCol w:w="624"/>
        <w:gridCol w:w="562"/>
        <w:gridCol w:w="562"/>
        <w:gridCol w:w="566"/>
        <w:gridCol w:w="566"/>
        <w:gridCol w:w="566"/>
        <w:gridCol w:w="634"/>
      </w:tblGrid>
      <w:tr>
        <w:tblPrEx>
          <w:tblLayout w:type="fixed"/>
          <w:tblCellMar>
            <w:top w:w="0" w:type="dxa"/>
            <w:left w:w="10" w:type="dxa"/>
            <w:bottom w:w="0" w:type="dxa"/>
            <w:right w:w="10" w:type="dxa"/>
          </w:tblCellMar>
        </w:tblPrEx>
        <w:trPr>
          <w:trHeight w:val="538" w:hRule="exact"/>
          <w:jc w:val="center"/>
        </w:trPr>
        <w:tc>
          <w:tcPr>
            <w:tcW w:w="4641" w:type="dxa"/>
            <w:gridSpan w:val="3"/>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（本列数据的勾稽关系为：第一项加第二项之和， 等于第三项加第四项之和）</w:t>
            </w:r>
          </w:p>
        </w:tc>
        <w:tc>
          <w:tcPr>
            <w:tcW w:w="4080" w:type="dxa"/>
            <w:gridSpan w:val="7"/>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申请人情况</w:t>
            </w:r>
          </w:p>
        </w:tc>
      </w:tr>
      <w:tr>
        <w:tblPrEx>
          <w:tblLayout w:type="fixed"/>
          <w:tblCellMar>
            <w:top w:w="0" w:type="dxa"/>
            <w:left w:w="10" w:type="dxa"/>
            <w:bottom w:w="0" w:type="dxa"/>
            <w:right w:w="10" w:type="dxa"/>
          </w:tblCellMar>
        </w:tblPrEx>
        <w:trPr>
          <w:trHeight w:val="475"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自然人</w:t>
            </w:r>
          </w:p>
        </w:tc>
        <w:tc>
          <w:tcPr>
            <w:tcW w:w="2822" w:type="dxa"/>
            <w:gridSpan w:val="5"/>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法人或其他组织</w:t>
            </w:r>
          </w:p>
        </w:tc>
        <w:tc>
          <w:tcPr>
            <w:tcW w:w="634" w:type="dxa"/>
            <w:vMerge w:val="restart"/>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总计</w:t>
            </w:r>
          </w:p>
        </w:tc>
      </w:tr>
      <w:tr>
        <w:tblPrEx>
          <w:tblLayout w:type="fixed"/>
          <w:tblCellMar>
            <w:top w:w="0" w:type="dxa"/>
            <w:left w:w="10" w:type="dxa"/>
            <w:bottom w:w="0" w:type="dxa"/>
            <w:right w:w="10" w:type="dxa"/>
          </w:tblCellMar>
        </w:tblPrEx>
        <w:trPr>
          <w:trHeight w:val="914" w:hRule="exact"/>
          <w:jc w:val="center"/>
        </w:trPr>
        <w:tc>
          <w:tcPr>
            <w:tcW w:w="4641" w:type="dxa"/>
            <w:gridSpan w:val="3"/>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c>
          <w:tcPr>
            <w:tcW w:w="562"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商业 企业</w:t>
            </w:r>
          </w:p>
        </w:tc>
        <w:tc>
          <w:tcPr>
            <w:tcW w:w="562"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科研 机构</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10"/>
                <w:szCs w:val="10"/>
                <w:lang w:eastAsia="zh-CN"/>
              </w:rPr>
            </w:pPr>
            <w:r>
              <w:rPr>
                <w:rFonts w:hint="eastAsia" w:ascii="仿宋_GB2312" w:hAnsi="仿宋_GB2312" w:eastAsia="仿宋_GB2312" w:cs="仿宋_GB2312"/>
                <w:color w:val="auto"/>
                <w:sz w:val="20"/>
                <w:szCs w:val="20"/>
                <w:lang w:val="zh-TW" w:eastAsia="zh-CN" w:bidi="zh-TW"/>
              </w:rPr>
              <w:t>社会公益组织</w:t>
            </w:r>
          </w:p>
        </w:tc>
        <w:tc>
          <w:tcPr>
            <w:tcW w:w="566"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法律 服务 机构</w:t>
            </w:r>
          </w:p>
        </w:tc>
        <w:tc>
          <w:tcPr>
            <w:tcW w:w="566"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其他</w:t>
            </w:r>
          </w:p>
        </w:tc>
        <w:tc>
          <w:tcPr>
            <w:tcW w:w="634" w:type="dxa"/>
            <w:vMerge w:val="continue"/>
            <w:tcBorders>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rPr>
            </w:pPr>
          </w:p>
        </w:tc>
      </w:tr>
      <w:tr>
        <w:tblPrEx>
          <w:tblLayout w:type="fixed"/>
          <w:tblCellMar>
            <w:top w:w="0" w:type="dxa"/>
            <w:left w:w="10" w:type="dxa"/>
            <w:bottom w:w="0" w:type="dxa"/>
            <w:right w:w="10" w:type="dxa"/>
          </w:tblCellMar>
        </w:tblPrEx>
        <w:trPr>
          <w:trHeight w:val="536" w:hRule="exact"/>
          <w:jc w:val="center"/>
        </w:trPr>
        <w:tc>
          <w:tcPr>
            <w:tcW w:w="4641" w:type="dxa"/>
            <w:gridSpan w:val="3"/>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一、本年新收政府信息公开申请数量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6</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6</w:t>
            </w:r>
          </w:p>
        </w:tc>
      </w:tr>
      <w:tr>
        <w:tblPrEx>
          <w:tblLayout w:type="fixed"/>
          <w:tblCellMar>
            <w:top w:w="0" w:type="dxa"/>
            <w:left w:w="10" w:type="dxa"/>
            <w:bottom w:w="0" w:type="dxa"/>
            <w:right w:w="10" w:type="dxa"/>
          </w:tblCellMar>
        </w:tblPrEx>
        <w:trPr>
          <w:trHeight w:val="495" w:hRule="exact"/>
          <w:jc w:val="center"/>
        </w:trPr>
        <w:tc>
          <w:tcPr>
            <w:tcW w:w="4641" w:type="dxa"/>
            <w:gridSpan w:val="3"/>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二、上年结转政府信息公开申请数量</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520" w:hRule="exact"/>
          <w:jc w:val="center"/>
        </w:trPr>
        <w:tc>
          <w:tcPr>
            <w:tcW w:w="518" w:type="dxa"/>
            <w:vMerge w:val="restart"/>
            <w:tcBorders>
              <w:top w:val="single" w:color="auto" w:sz="4" w:space="0"/>
              <w:left w:val="single" w:color="auto" w:sz="4" w:space="0"/>
            </w:tcBorders>
            <w:shd w:val="clear" w:color="auto" w:fill="FFFFFF"/>
            <w:textDirection w:val="tbRlV"/>
            <w:vAlign w:val="center"/>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eastAsia="仿宋_GB2312" w:cs="Times New Roman"/>
                <w:color w:val="auto"/>
              </w:rPr>
            </w:pPr>
            <w:r>
              <w:rPr>
                <w:rFonts w:hint="eastAsia" w:ascii="仿宋_GB2312" w:hAnsi="仿宋_GB2312" w:eastAsia="仿宋_GB2312" w:cs="仿宋_GB2312"/>
                <w:color w:val="auto"/>
              </w:rPr>
              <w:t>三、本年度办理结果</w:t>
            </w:r>
          </w:p>
        </w:tc>
        <w:tc>
          <w:tcPr>
            <w:tcW w:w="4123" w:type="dxa"/>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（一）予以公开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4</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仿宋_GB2312"/>
                <w:color w:val="auto"/>
                <w:sz w:val="28"/>
                <w:szCs w:val="28"/>
                <w:lang w:val="en-US" w:eastAsia="zh-CN"/>
              </w:rPr>
            </w:pPr>
            <w:r>
              <w:rPr>
                <w:rFonts w:hint="eastAsia" w:eastAsia="仿宋_GB2312"/>
                <w:color w:val="auto"/>
                <w:sz w:val="28"/>
                <w:szCs w:val="28"/>
                <w:lang w:val="en-US" w:eastAsia="zh-CN"/>
              </w:rPr>
              <w:t>4</w:t>
            </w:r>
          </w:p>
        </w:tc>
      </w:tr>
      <w:tr>
        <w:tblPrEx>
          <w:tblLayout w:type="fixed"/>
          <w:tblCellMar>
            <w:top w:w="0" w:type="dxa"/>
            <w:left w:w="10" w:type="dxa"/>
            <w:bottom w:w="0" w:type="dxa"/>
            <w:right w:w="10" w:type="dxa"/>
          </w:tblCellMar>
        </w:tblPrEx>
        <w:trPr>
          <w:trHeight w:val="859"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（二）部分公开（区分处理的，只计这一情形，不计其他情形）</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（三）不予公开</w:t>
            </w: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属于国家秘密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lang w:eastAsia="zh-CN"/>
              </w:rPr>
              <w:t>其他法律行政法规</w:t>
            </w:r>
            <w:r>
              <w:rPr>
                <w:rFonts w:hint="eastAsia" w:ascii="仿宋_GB2312" w:hAnsi="仿宋_GB2312" w:eastAsia="仿宋_GB2312" w:cs="仿宋_GB2312"/>
                <w:color w:val="auto"/>
                <w:sz w:val="20"/>
                <w:szCs w:val="20"/>
              </w:rPr>
              <w:t>禁止公开</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危及</w:t>
            </w:r>
            <w:r>
              <w:rPr>
                <w:rFonts w:hint="eastAsia" w:ascii="仿宋_GB2312" w:hAnsi="仿宋_GB2312" w:eastAsia="仿宋_GB2312" w:cs="仿宋_GB2312"/>
                <w:color w:val="auto"/>
                <w:sz w:val="20"/>
                <w:szCs w:val="20"/>
                <w:lang w:val="zh-CN" w:eastAsia="zh-CN" w:bidi="zh-CN"/>
              </w:rPr>
              <w:t>“三</w:t>
            </w:r>
            <w:r>
              <w:rPr>
                <w:rFonts w:hint="eastAsia" w:ascii="仿宋_GB2312" w:hAnsi="仿宋_GB2312" w:eastAsia="仿宋_GB2312" w:cs="仿宋_GB2312"/>
                <w:color w:val="auto"/>
                <w:sz w:val="20"/>
                <w:szCs w:val="20"/>
              </w:rPr>
              <w:t>安全一稳定”</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4.</w:t>
            </w:r>
            <w:r>
              <w:rPr>
                <w:rFonts w:hint="eastAsia" w:ascii="仿宋_GB2312" w:hAnsi="仿宋_GB2312" w:eastAsia="仿宋_GB2312" w:cs="仿宋_GB2312"/>
                <w:color w:val="auto"/>
                <w:sz w:val="20"/>
                <w:szCs w:val="20"/>
              </w:rPr>
              <w:t>保护第三方合法权益</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属于三类内部事务信息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6.</w:t>
            </w:r>
            <w:r>
              <w:rPr>
                <w:rFonts w:hint="eastAsia" w:ascii="仿宋_GB2312" w:hAnsi="仿宋_GB2312" w:eastAsia="仿宋_GB2312" w:cs="仿宋_GB2312"/>
                <w:color w:val="auto"/>
                <w:sz w:val="20"/>
                <w:szCs w:val="20"/>
              </w:rPr>
              <w:t>属于四类过程性信息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403"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7.</w:t>
            </w:r>
            <w:r>
              <w:rPr>
                <w:rFonts w:hint="eastAsia" w:ascii="仿宋_GB2312" w:hAnsi="仿宋_GB2312" w:eastAsia="仿宋_GB2312" w:cs="仿宋_GB2312"/>
                <w:color w:val="auto"/>
                <w:sz w:val="20"/>
                <w:szCs w:val="20"/>
              </w:rPr>
              <w:t>属于行政执法案卷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8.</w:t>
            </w:r>
            <w:r>
              <w:rPr>
                <w:rFonts w:hint="eastAsia" w:ascii="仿宋_GB2312" w:hAnsi="仿宋_GB2312" w:eastAsia="仿宋_GB2312" w:cs="仿宋_GB2312"/>
                <w:color w:val="auto"/>
                <w:sz w:val="20"/>
                <w:szCs w:val="20"/>
              </w:rPr>
              <w:t>属于行政查询事项</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（四）无法提供</w:t>
            </w: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1.</w:t>
            </w:r>
            <w:r>
              <w:rPr>
                <w:rFonts w:hint="eastAsia" w:ascii="仿宋_GB2312" w:hAnsi="仿宋_GB2312" w:eastAsia="仿宋_GB2312" w:cs="仿宋_GB2312"/>
                <w:color w:val="auto"/>
                <w:sz w:val="20"/>
                <w:szCs w:val="20"/>
              </w:rPr>
              <w:t>本机关不掌握相关政府信息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2</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2</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2.</w:t>
            </w:r>
            <w:r>
              <w:rPr>
                <w:rFonts w:hint="eastAsia" w:ascii="仿宋_GB2312" w:hAnsi="仿宋_GB2312" w:eastAsia="仿宋_GB2312" w:cs="仿宋_GB2312"/>
                <w:color w:val="auto"/>
                <w:sz w:val="20"/>
                <w:szCs w:val="20"/>
              </w:rPr>
              <w:t>没有现成信息需要另行制作</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3.</w:t>
            </w:r>
            <w:r>
              <w:rPr>
                <w:rFonts w:hint="eastAsia" w:ascii="仿宋_GB2312" w:hAnsi="仿宋_GB2312" w:eastAsia="仿宋_GB2312" w:cs="仿宋_GB2312"/>
                <w:color w:val="auto"/>
                <w:sz w:val="20"/>
                <w:szCs w:val="20"/>
              </w:rPr>
              <w:t>补正后申请内容仍不明确</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436"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（五）不予处理</w:t>
            </w:r>
          </w:p>
        </w:tc>
        <w:tc>
          <w:tcPr>
            <w:tcW w:w="2709"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1.</w:t>
            </w:r>
            <w:r>
              <w:rPr>
                <w:rFonts w:hint="eastAsia" w:ascii="仿宋_GB2312" w:hAnsi="仿宋_GB2312" w:eastAsia="仿宋_GB2312" w:cs="仿宋_GB2312"/>
                <w:color w:val="auto"/>
                <w:sz w:val="20"/>
                <w:szCs w:val="20"/>
              </w:rPr>
              <w:t>信访举报投诉类申请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437"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2.</w:t>
            </w:r>
            <w:r>
              <w:rPr>
                <w:rFonts w:hint="eastAsia" w:ascii="仿宋_GB2312" w:hAnsi="仿宋_GB2312" w:eastAsia="仿宋_GB2312" w:cs="仿宋_GB2312"/>
                <w:color w:val="auto"/>
                <w:sz w:val="20"/>
                <w:szCs w:val="20"/>
              </w:rPr>
              <w:t>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41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en-US" w:bidi="en-US"/>
              </w:rPr>
              <w:t>3.</w:t>
            </w:r>
            <w:r>
              <w:rPr>
                <w:rFonts w:hint="eastAsia" w:ascii="仿宋_GB2312" w:hAnsi="仿宋_GB2312" w:eastAsia="仿宋_GB2312" w:cs="仿宋_GB2312"/>
                <w:color w:val="auto"/>
                <w:sz w:val="20"/>
                <w:szCs w:val="20"/>
              </w:rPr>
              <w:t>要求提供公开出版物</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43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2709" w:type="dxa"/>
            <w:tcBorders>
              <w:top w:val="single" w:color="auto" w:sz="4" w:space="0"/>
              <w:left w:val="single" w:color="auto" w:sz="4" w:space="0"/>
            </w:tcBorders>
            <w:shd w:val="clear" w:color="auto" w:fill="FFFFFF"/>
            <w:vAlign w:val="bottom"/>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4.</w:t>
            </w:r>
            <w:r>
              <w:rPr>
                <w:rFonts w:hint="eastAsia" w:ascii="仿宋_GB2312" w:hAnsi="仿宋_GB2312" w:eastAsia="仿宋_GB2312" w:cs="仿宋_GB2312"/>
                <w:color w:val="auto"/>
                <w:sz w:val="20"/>
                <w:szCs w:val="20"/>
              </w:rPr>
              <w:t>无正当理由大量反复申请</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571"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141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2709" w:type="dxa"/>
            <w:tcBorders>
              <w:top w:val="single" w:color="auto" w:sz="4" w:space="0"/>
              <w:left w:val="single" w:color="auto" w:sz="4" w:space="0"/>
            </w:tcBorders>
            <w:shd w:val="clear" w:color="auto" w:fill="FFFFFF"/>
          </w:tcPr>
          <w:p>
            <w:pPr>
              <w:pStyle w:val="8"/>
              <w:keepNext w:val="0"/>
              <w:keepLines w:val="0"/>
              <w:pageBreakBefore w:val="0"/>
              <w:widowControl w:val="0"/>
              <w:kinsoku/>
              <w:wordWrap/>
              <w:overflowPunct/>
              <w:topLinePunct w:val="0"/>
              <w:autoSpaceDE/>
              <w:autoSpaceDN/>
              <w:bidi w:val="0"/>
              <w:adjustRightInd/>
              <w:snapToGrid/>
              <w:spacing w:line="440" w:lineRule="exact"/>
              <w:ind w:left="340" w:hanging="340"/>
              <w:jc w:val="both"/>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lang w:val="en-US" w:eastAsia="zh-CN" w:bidi="en-US"/>
              </w:rPr>
              <w:t>5.</w:t>
            </w:r>
            <w:r>
              <w:rPr>
                <w:rFonts w:hint="eastAsia" w:ascii="仿宋_GB2312" w:hAnsi="仿宋_GB2312" w:eastAsia="仿宋_GB2312" w:cs="仿宋_GB2312"/>
                <w:color w:val="auto"/>
                <w:sz w:val="20"/>
                <w:szCs w:val="20"/>
              </w:rPr>
              <w:t>要求行政机关确认或重新出具已获取信息</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8"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lang w:eastAsia="zh-CN"/>
              </w:rPr>
            </w:pPr>
          </w:p>
        </w:tc>
        <w:tc>
          <w:tcPr>
            <w:tcW w:w="4123" w:type="dxa"/>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（六）其他处理</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r>
      <w:tr>
        <w:tblPrEx>
          <w:tblLayout w:type="fixed"/>
          <w:tblCellMar>
            <w:top w:w="0" w:type="dxa"/>
            <w:left w:w="10" w:type="dxa"/>
            <w:bottom w:w="0" w:type="dxa"/>
            <w:right w:w="10" w:type="dxa"/>
          </w:tblCellMar>
        </w:tblPrEx>
        <w:trPr>
          <w:trHeight w:val="394" w:hRule="exact"/>
          <w:jc w:val="center"/>
        </w:trPr>
        <w:tc>
          <w:tcPr>
            <w:tcW w:w="518" w:type="dxa"/>
            <w:vMerge w:val="continue"/>
            <w:tcBorders>
              <w:left w:val="single" w:color="auto" w:sz="4" w:space="0"/>
            </w:tcBorders>
            <w:shd w:val="clear" w:color="auto" w:fill="FFFFFF"/>
            <w:textDirection w:val="tbRlV"/>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eastAsia="仿宋_GB2312"/>
                <w:color w:val="auto"/>
              </w:rPr>
            </w:pPr>
          </w:p>
        </w:tc>
        <w:tc>
          <w:tcPr>
            <w:tcW w:w="4123" w:type="dxa"/>
            <w:gridSpan w:val="2"/>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（七）总计</w:t>
            </w:r>
          </w:p>
        </w:tc>
        <w:tc>
          <w:tcPr>
            <w:tcW w:w="624"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6</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2"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仿宋_GB2312"/>
                <w:color w:val="auto"/>
                <w:sz w:val="28"/>
                <w:szCs w:val="28"/>
                <w:lang w:val="en-US" w:eastAsia="zh-CN"/>
              </w:rPr>
              <w:t>0</w:t>
            </w:r>
          </w:p>
        </w:tc>
        <w:tc>
          <w:tcPr>
            <w:tcW w:w="566" w:type="dxa"/>
            <w:tcBorders>
              <w:top w:val="single" w:color="auto" w:sz="4" w:space="0"/>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宋体"/>
                <w:color w:val="auto"/>
                <w:sz w:val="28"/>
                <w:szCs w:val="28"/>
                <w:lang w:val="en-US" w:eastAsia="zh-CN"/>
              </w:rPr>
              <w:t>0</w:t>
            </w:r>
          </w:p>
        </w:tc>
        <w:tc>
          <w:tcPr>
            <w:tcW w:w="634" w:type="dxa"/>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仿宋_GB2312"/>
                <w:color w:val="auto"/>
                <w:sz w:val="28"/>
                <w:szCs w:val="28"/>
                <w:lang w:eastAsia="zh-CN"/>
              </w:rPr>
            </w:pPr>
            <w:r>
              <w:rPr>
                <w:rFonts w:hint="eastAsia" w:eastAsia="宋体"/>
                <w:color w:val="auto"/>
                <w:sz w:val="28"/>
                <w:szCs w:val="28"/>
                <w:lang w:val="en-US" w:eastAsia="zh-CN"/>
              </w:rPr>
              <w:t>6</w:t>
            </w:r>
          </w:p>
        </w:tc>
      </w:tr>
      <w:tr>
        <w:tblPrEx>
          <w:tblLayout w:type="fixed"/>
          <w:tblCellMar>
            <w:top w:w="0" w:type="dxa"/>
            <w:left w:w="10" w:type="dxa"/>
            <w:bottom w:w="0" w:type="dxa"/>
            <w:right w:w="10" w:type="dxa"/>
          </w:tblCellMar>
        </w:tblPrEx>
        <w:trPr>
          <w:trHeight w:val="466" w:hRule="exact"/>
          <w:jc w:val="center"/>
        </w:trPr>
        <w:tc>
          <w:tcPr>
            <w:tcW w:w="4641" w:type="dxa"/>
            <w:gridSpan w:val="3"/>
            <w:tcBorders>
              <w:top w:val="single" w:color="auto" w:sz="4" w:space="0"/>
              <w:left w:val="single" w:color="auto" w:sz="4" w:space="0"/>
              <w:bottom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eastAsia="仿宋_GB2312" w:cs="Times New Roman"/>
                <w:color w:val="auto"/>
                <w:sz w:val="20"/>
                <w:szCs w:val="20"/>
              </w:rPr>
            </w:pPr>
            <w:r>
              <w:rPr>
                <w:rFonts w:hint="eastAsia" w:ascii="仿宋_GB2312" w:hAnsi="仿宋_GB2312" w:eastAsia="仿宋_GB2312" w:cs="仿宋_GB2312"/>
                <w:color w:val="auto"/>
                <w:sz w:val="20"/>
                <w:szCs w:val="20"/>
              </w:rPr>
              <w:t>四、结转下年度继续办理</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仿宋_GB2312"/>
                <w:color w:val="auto"/>
                <w:sz w:val="28"/>
                <w:szCs w:val="28"/>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仿宋_GB2312"/>
                <w:color w:val="auto"/>
                <w:sz w:val="28"/>
                <w:szCs w:val="28"/>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color w:val="auto"/>
                <w:sz w:val="28"/>
                <w:szCs w:val="28"/>
              </w:rPr>
            </w:pPr>
            <w:r>
              <w:rPr>
                <w:rFonts w:hint="eastAsia" w:eastAsia="宋体"/>
                <w:color w:val="auto"/>
                <w:sz w:val="28"/>
                <w:szCs w:val="28"/>
                <w:lang w:val="en-US" w:eastAsia="zh-CN"/>
              </w:rPr>
              <w:t>0</w:t>
            </w:r>
          </w:p>
        </w:tc>
        <w:tc>
          <w:tcPr>
            <w:tcW w:w="634"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eastAsia="宋体"/>
                <w:color w:val="auto"/>
                <w:sz w:val="28"/>
                <w:szCs w:val="28"/>
                <w:lang w:val="en-US" w:eastAsia="zh-CN"/>
              </w:rPr>
            </w:pPr>
            <w:r>
              <w:rPr>
                <w:rFonts w:hint="eastAsia" w:eastAsia="宋体"/>
                <w:color w:val="auto"/>
                <w:sz w:val="28"/>
                <w:szCs w:val="28"/>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color w:val="auto"/>
          <w:lang w:eastAsia="zh-CN"/>
        </w:rPr>
        <w:sectPr>
          <w:headerReference r:id="rId3" w:type="default"/>
          <w:footerReference r:id="rId5" w:type="default"/>
          <w:headerReference r:id="rId4" w:type="even"/>
          <w:footerReference r:id="rId6" w:type="even"/>
          <w:pgSz w:w="11900" w:h="16840"/>
          <w:pgMar w:top="2416" w:right="1302" w:bottom="1283" w:left="1771" w:header="0" w:footer="3" w:gutter="0"/>
          <w:pgNumType w:fmt="numberInDash" w:start="8"/>
          <w:cols w:space="720" w:num="1"/>
          <w:docGrid w:linePitch="360" w:charSpace="0"/>
        </w:sectPr>
      </w:pPr>
    </w:p>
    <w:p>
      <w:pPr>
        <w:pStyle w:val="7"/>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ascii="Times New Roman" w:hAnsi="Times New Roman" w:eastAsia="黑体" w:cs="Times New Roman"/>
          <w:color w:val="auto"/>
          <w:sz w:val="32"/>
          <w:szCs w:val="32"/>
        </w:rPr>
      </w:pPr>
      <w:bookmarkStart w:id="0" w:name="bookmark39"/>
      <w:r>
        <w:rPr>
          <w:rFonts w:ascii="Times New Roman" w:hAnsi="Times New Roman" w:eastAsia="黑体" w:cs="Times New Roman"/>
          <w:bCs/>
          <w:color w:val="auto"/>
          <w:sz w:val="32"/>
          <w:szCs w:val="32"/>
        </w:rPr>
        <w:t>四</w:t>
      </w:r>
      <w:bookmarkEnd w:id="0"/>
      <w:r>
        <w:rPr>
          <w:rFonts w:ascii="Times New Roman" w:hAnsi="Times New Roman" w:eastAsia="黑体" w:cs="Times New Roman"/>
          <w:bCs/>
          <w:color w:val="auto"/>
          <w:sz w:val="32"/>
          <w:szCs w:val="32"/>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行政复议</w:t>
            </w:r>
          </w:p>
        </w:tc>
        <w:tc>
          <w:tcPr>
            <w:tcW w:w="5669" w:type="dxa"/>
            <w:gridSpan w:val="10"/>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629"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624"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624" w:type="dxa"/>
            <w:vMerge w:val="restart"/>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2" w:type="dxa"/>
            <w:vMerge w:val="restart"/>
            <w:tcBorders>
              <w:top w:val="single" w:color="auto" w:sz="4" w:space="0"/>
              <w:left w:val="single" w:color="auto" w:sz="4" w:space="0"/>
            </w:tcBorders>
            <w:shd w:val="clear" w:color="auto" w:fill="FFFFFF"/>
            <w:textDirection w:val="tbRlV"/>
            <w:vAlign w:val="bottom"/>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2827" w:type="dxa"/>
            <w:gridSpan w:val="5"/>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未经复议直接起诉</w:t>
            </w:r>
          </w:p>
        </w:tc>
        <w:tc>
          <w:tcPr>
            <w:tcW w:w="2842" w:type="dxa"/>
            <w:gridSpan w:val="5"/>
            <w:tcBorders>
              <w:top w:val="single" w:color="auto" w:sz="4" w:space="0"/>
              <w:left w:val="single" w:color="auto" w:sz="4" w:space="0"/>
              <w:righ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9"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624" w:type="dxa"/>
            <w:vMerge w:val="continue"/>
            <w:tcBorders>
              <w:lef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vMerge w:val="continue"/>
            <w:tcBorders>
              <w:left w:val="single" w:color="auto" w:sz="4" w:space="0"/>
            </w:tcBorders>
            <w:shd w:val="clear" w:color="auto" w:fill="FFFFFF"/>
            <w:textDirection w:val="tbRlV"/>
            <w:vAlign w:val="bottom"/>
          </w:tcPr>
          <w:p>
            <w:pPr>
              <w:keepNext w:val="0"/>
              <w:keepLines w:val="0"/>
              <w:pageBreakBefore w:val="0"/>
              <w:widowControl w:val="0"/>
              <w:kinsoku/>
              <w:wordWrap/>
              <w:overflowPunct/>
              <w:topLinePunct w:val="0"/>
              <w:autoSpaceDE/>
              <w:autoSpaceDN/>
              <w:bidi w:val="0"/>
              <w:adjustRightInd/>
              <w:snapToGrid/>
              <w:spacing w:line="440" w:lineRule="exact"/>
              <w:textAlignment w:val="auto"/>
              <w:rPr>
                <w:color w:val="auto"/>
              </w:rPr>
            </w:pPr>
          </w:p>
        </w:tc>
        <w:tc>
          <w:tcPr>
            <w:tcW w:w="562"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66" w:type="dxa"/>
            <w:tcBorders>
              <w:top w:val="single" w:color="auto" w:sz="4" w:space="0"/>
              <w:lef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c>
          <w:tcPr>
            <w:tcW w:w="562"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维持</w:t>
            </w:r>
          </w:p>
        </w:tc>
        <w:tc>
          <w:tcPr>
            <w:tcW w:w="571"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结果 纠正</w:t>
            </w:r>
          </w:p>
        </w:tc>
        <w:tc>
          <w:tcPr>
            <w:tcW w:w="562"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textAlignment w:val="auto"/>
              <w:rPr>
                <w:rFonts w:ascii="Times New Roman" w:hAnsi="Times New Roman" w:cs="Times New Roman"/>
                <w:color w:val="auto"/>
                <w:sz w:val="20"/>
                <w:szCs w:val="20"/>
              </w:rPr>
            </w:pPr>
            <w:r>
              <w:rPr>
                <w:rFonts w:ascii="Times New Roman" w:hAnsi="Times New Roman" w:cs="Times New Roman"/>
                <w:color w:val="auto"/>
                <w:sz w:val="20"/>
                <w:szCs w:val="20"/>
              </w:rPr>
              <w:t>其他 结果</w:t>
            </w:r>
          </w:p>
        </w:tc>
        <w:tc>
          <w:tcPr>
            <w:tcW w:w="566" w:type="dxa"/>
            <w:tcBorders>
              <w:top w:val="single" w:color="auto" w:sz="4" w:space="0"/>
              <w:left w:val="single" w:color="auto" w:sz="4" w:space="0"/>
            </w:tcBorders>
            <w:shd w:val="clear" w:color="auto" w:fill="FFFFFF"/>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firstLine="0"/>
              <w:jc w:val="center"/>
              <w:textAlignment w:val="auto"/>
              <w:rPr>
                <w:rFonts w:ascii="Times New Roman" w:hAnsi="Times New Roman" w:cs="Times New Roman"/>
                <w:color w:val="auto"/>
                <w:sz w:val="20"/>
                <w:szCs w:val="20"/>
              </w:rPr>
            </w:pPr>
            <w:r>
              <w:rPr>
                <w:rFonts w:ascii="Times New Roman" w:hAnsi="Times New Roman" w:cs="Times New Roman"/>
                <w:color w:val="auto"/>
                <w:sz w:val="20"/>
                <w:szCs w:val="20"/>
              </w:rPr>
              <w:t>尚未 审结</w:t>
            </w:r>
          </w:p>
        </w:tc>
        <w:tc>
          <w:tcPr>
            <w:tcW w:w="581" w:type="dxa"/>
            <w:tcBorders>
              <w:top w:val="single" w:color="auto" w:sz="4" w:space="0"/>
              <w:left w:val="single" w:color="auto" w:sz="4" w:space="0"/>
              <w:right w:val="single" w:color="auto" w:sz="4" w:space="0"/>
            </w:tcBorders>
            <w:shd w:val="clear" w:color="auto" w:fill="FFFFFF"/>
            <w:textDirection w:val="tbRlV"/>
          </w:tcPr>
          <w:p>
            <w:pPr>
              <w:pStyle w:val="9"/>
              <w:keepNext w:val="0"/>
              <w:keepLines w:val="0"/>
              <w:pageBreakBefore w:val="0"/>
              <w:widowControl w:val="0"/>
              <w:kinsoku/>
              <w:wordWrap/>
              <w:overflowPunct/>
              <w:topLinePunct w:val="0"/>
              <w:autoSpaceDE/>
              <w:autoSpaceDN/>
              <w:bidi w:val="0"/>
              <w:adjustRightInd/>
              <w:snapToGrid/>
              <w:spacing w:before="0" w:line="440" w:lineRule="exact"/>
              <w:textAlignment w:val="auto"/>
              <w:rPr>
                <w:rFonts w:ascii="Times New Roman" w:hAnsi="Times New Roman" w:cs="Times New Roman"/>
                <w:color w:val="auto"/>
              </w:rPr>
            </w:pPr>
            <w:r>
              <w:rPr>
                <w:rFonts w:ascii="Times New Roman" w:hAnsi="Times New Roman" w:cs="Times New Roman"/>
                <w:color w:val="auto"/>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eastAsia="宋体"/>
                <w:color w:val="auto"/>
                <w:sz w:val="32"/>
                <w:szCs w:val="32"/>
                <w:lang w:val="en-US" w:eastAsia="zh-CN"/>
              </w:rPr>
            </w:pPr>
            <w:r>
              <w:rPr>
                <w:rFonts w:hint="eastAsia" w:eastAsia="宋体"/>
                <w:color w:val="auto"/>
                <w:sz w:val="32"/>
                <w:szCs w:val="32"/>
                <w:lang w:val="en-US" w:eastAsia="zh-CN"/>
              </w:rPr>
              <w:t>0</w:t>
            </w:r>
          </w:p>
        </w:tc>
        <w:tc>
          <w:tcPr>
            <w:tcW w:w="629"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624"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71"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2"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66" w:type="dxa"/>
            <w:tcBorders>
              <w:top w:val="single" w:color="auto" w:sz="4" w:space="0"/>
              <w:left w:val="single" w:color="auto" w:sz="4" w:space="0"/>
              <w:bottom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eastAsia="宋体"/>
                <w:color w:val="auto"/>
                <w:sz w:val="32"/>
                <w:szCs w:val="32"/>
                <w:lang w:eastAsia="zh-CN"/>
              </w:rPr>
            </w:pPr>
            <w:r>
              <w:rPr>
                <w:rFonts w:hint="eastAsia" w:eastAsia="宋体"/>
                <w:color w:val="auto"/>
                <w:sz w:val="32"/>
                <w:szCs w:val="32"/>
                <w:lang w:val="en-US" w:eastAsia="zh-CN"/>
              </w:rPr>
              <w:t>0</w:t>
            </w: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eastAsia="黑体"/>
          <w:color w:val="auto"/>
          <w:sz w:val="32"/>
          <w:szCs w:val="32"/>
          <w:lang w:eastAsia="zh-CN" w:bidi="ar-SA"/>
        </w:rPr>
      </w:pPr>
      <w:r>
        <w:rPr>
          <w:rFonts w:eastAsia="黑体"/>
          <w:color w:val="auto"/>
          <w:sz w:val="32"/>
          <w:szCs w:val="32"/>
          <w:lang w:eastAsia="zh-CN" w:bidi="ar-SA"/>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ascii="楷体" w:hAnsi="楷体" w:eastAsia="楷体" w:cs="楷体"/>
          <w:color w:val="auto"/>
          <w:sz w:val="32"/>
          <w:szCs w:val="32"/>
          <w:lang w:val="en-US" w:eastAsia="zh-CN"/>
        </w:rPr>
        <w:t>（一）存在的主要问题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shd w:val="clear" w:color="auto" w:fill="FFFFFF"/>
          <w:lang w:val="en-US" w:eastAsia="zh-CN"/>
        </w:rPr>
        <w:t>市中区市场监督管理局</w:t>
      </w:r>
      <w:r>
        <w:rPr>
          <w:rFonts w:hint="eastAsia" w:eastAsia="仿宋_GB2312"/>
          <w:color w:val="auto"/>
          <w:sz w:val="32"/>
          <w:szCs w:val="32"/>
          <w:lang w:val="en-US" w:eastAsia="zh-CN"/>
        </w:rPr>
        <w:t>政务公开工作虽然取得了一些进步，但是对照文件规定和上级要求，距离社会公众的愿望，都还存在较大的差距。一是政务公开的组织建设仍需加改进。工作人员是兼职负责，且法律、互联网及相关业务领域专业人员配备不足。二是依法主动公开意识有待增强。少数干部职工对政府公开工作的重要性认识依然不足，怕公开、烦公开等惯性倾向依然存在，影响到主动公开工作的落实。三是政务公开平台和载体建设管理水平有待再提升，政府信息公开工作中对新闻发布会、在线访谈等新媒体公开形式重视还不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shd w:val="clear" w:color="auto" w:fill="FFFFFF"/>
          <w:lang w:val="en-US" w:eastAsia="zh-CN"/>
        </w:rPr>
        <w:t>市中区市场监督管理局</w:t>
      </w:r>
      <w:r>
        <w:rPr>
          <w:rFonts w:hint="eastAsia" w:eastAsia="仿宋_GB2312"/>
          <w:color w:val="auto"/>
          <w:sz w:val="32"/>
          <w:szCs w:val="32"/>
          <w:lang w:val="en-US" w:eastAsia="zh-CN"/>
        </w:rPr>
        <w:t>将继续按照上级要求，把握政策文件，认真贯彻落实政务公开工作要点，不断提高政务公开工作实效，进一步提高政务公开工作水平，切实保障人民群众的知情权、参与权和监督权。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1.规范提升主动公开工作。严格执行相关政策文件规定的主动公开范围和事项，进一步拓展和深化政府信息公开的内容和范围，努力提高信息公开的质量。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2.加强政府信息公开平台和载体建设。积极主动建设政府信息公开平台建设，加强新媒体在政务公开工作中的运用，优化调整政务公开平台的栏目和功能，扩大政务公开渠道和范围，提高更新速率。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3.强化政务公开制度和机制落实。继续抓好政务公开前审查实施办法、政府信息依申请公开工作规程、政府信息发布规范和责任追究等政务公开配套制度的落实，促进政务公开规范化、常态化开展。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textAlignment w:val="auto"/>
        <w:rPr>
          <w:rFonts w:hint="eastAsia" w:eastAsia="黑体"/>
          <w:color w:val="auto"/>
          <w:sz w:val="32"/>
          <w:szCs w:val="32"/>
          <w:lang w:eastAsia="zh-CN" w:bidi="zh-TW"/>
        </w:rPr>
      </w:pPr>
      <w:r>
        <w:rPr>
          <w:rFonts w:eastAsia="黑体"/>
          <w:color w:val="auto"/>
          <w:sz w:val="32"/>
          <w:szCs w:val="32"/>
          <w:lang w:eastAsia="zh-CN" w:bidi="zh-TW"/>
        </w:rPr>
        <w:t>六、其他需要报告的事项</w:t>
      </w:r>
    </w:p>
    <w:p>
      <w:pPr>
        <w:pStyle w:val="3"/>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3"/>
        <w:rPr>
          <w:rFonts w:ascii="Times New Roman" w:hAnsi="Times New Roman" w:eastAsia="黑体" w:cs="Times New Roman"/>
          <w:color w:val="auto"/>
          <w:sz w:val="32"/>
          <w:szCs w:val="32"/>
          <w:shd w:val="clear" w:color="auto" w:fill="FFFFFF"/>
          <w:lang w:eastAsia="zh-CN"/>
        </w:rPr>
      </w:pPr>
      <w:r>
        <w:rPr>
          <w:rFonts w:hint="eastAsia" w:ascii="仿宋_GB2312" w:hAnsi="仿宋_GB2312" w:eastAsia="仿宋_GB2312" w:cs="仿宋_GB2312"/>
          <w:b/>
          <w:bCs/>
          <w:color w:val="auto"/>
          <w:sz w:val="32"/>
          <w:szCs w:val="32"/>
          <w:shd w:val="clear" w:color="auto" w:fill="FFFFFF"/>
          <w:lang w:eastAsia="zh-CN"/>
        </w:rPr>
        <w:t>（一）人大代表建议和政协委员提案办理情况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lang w:eastAsia="zh-CN"/>
        </w:rPr>
      </w:pPr>
      <w:r>
        <w:rPr>
          <w:rFonts w:hint="eastAsia" w:eastAsia="仿宋_GB2312"/>
          <w:color w:val="auto"/>
          <w:sz w:val="32"/>
          <w:szCs w:val="32"/>
          <w:lang w:val="en-US" w:eastAsia="zh-CN"/>
        </w:rPr>
        <w:t>2021年，市中区市场监督管理局</w:t>
      </w:r>
      <w:r>
        <w:rPr>
          <w:rFonts w:eastAsia="仿宋_GB2312"/>
          <w:color w:val="auto"/>
          <w:sz w:val="32"/>
          <w:szCs w:val="32"/>
          <w:lang w:eastAsia="zh-CN"/>
        </w:rPr>
        <w:t>共承办</w:t>
      </w:r>
      <w:r>
        <w:rPr>
          <w:rFonts w:hint="eastAsia" w:eastAsia="仿宋_GB2312"/>
          <w:color w:val="auto"/>
          <w:sz w:val="32"/>
          <w:szCs w:val="32"/>
          <w:lang w:val="en-US" w:eastAsia="zh-CN"/>
        </w:rPr>
        <w:t>区级人大代表建议2件，办复率100%；承办区政协委员提案6件，办复</w:t>
      </w:r>
      <w:r>
        <w:rPr>
          <w:rFonts w:eastAsia="仿宋_GB2312"/>
          <w:color w:val="auto"/>
          <w:sz w:val="32"/>
          <w:szCs w:val="32"/>
          <w:lang w:eastAsia="zh-CN"/>
        </w:rPr>
        <w:t>率100%。</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eastAsia="仿宋_GB2312"/>
          <w:b w:val="0"/>
          <w:bCs w:val="0"/>
          <w:color w:val="auto"/>
          <w:sz w:val="32"/>
          <w:szCs w:val="32"/>
          <w:lang w:eastAsia="zh-CN"/>
        </w:rPr>
      </w:pPr>
      <w:r>
        <w:rPr>
          <w:rFonts w:hint="eastAsia" w:eastAsia="仿宋_GB2312"/>
          <w:b/>
          <w:bCs/>
          <w:color w:val="auto"/>
          <w:sz w:val="32"/>
          <w:szCs w:val="32"/>
          <w:lang w:eastAsia="zh-CN"/>
        </w:rPr>
        <w:t>（</w:t>
      </w:r>
      <w:r>
        <w:rPr>
          <w:rFonts w:hint="eastAsia" w:eastAsia="仿宋_GB2312"/>
          <w:b/>
          <w:bCs/>
          <w:color w:val="auto"/>
          <w:sz w:val="32"/>
          <w:szCs w:val="32"/>
          <w:lang w:val="en-US" w:eastAsia="zh-CN"/>
        </w:rPr>
        <w:t>二</w:t>
      </w:r>
      <w:r>
        <w:rPr>
          <w:rFonts w:hint="eastAsia" w:eastAsia="仿宋_GB2312"/>
          <w:b/>
          <w:bCs/>
          <w:color w:val="auto"/>
          <w:sz w:val="32"/>
          <w:szCs w:val="32"/>
          <w:lang w:eastAsia="zh-CN"/>
        </w:rPr>
        <w:t>）收取信息处理费的情况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auto"/>
          <w:sz w:val="32"/>
          <w:szCs w:val="32"/>
          <w:lang w:eastAsia="zh-CN"/>
        </w:rPr>
      </w:pPr>
      <w:r>
        <w:rPr>
          <w:rFonts w:hint="eastAsia" w:ascii="仿宋_GB2312" w:hAnsi="Times New Roman" w:eastAsia="仿宋_GB2312" w:cs="仿宋_GB2312"/>
          <w:color w:val="auto"/>
          <w:sz w:val="32"/>
          <w:szCs w:val="32"/>
          <w:lang w:eastAsia="zh-CN"/>
        </w:rPr>
        <w:t>本年度依申请公开政府信息未收取任何费用。</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default" w:eastAsia="仿宋_GB2312"/>
          <w:color w:val="auto"/>
          <w:sz w:val="32"/>
          <w:szCs w:val="32"/>
          <w:shd w:val="clear" w:color="auto" w:fill="FFFFFF"/>
          <w:lang w:val="en-US" w:eastAsia="zh-CN"/>
        </w:rPr>
      </w:pP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三</w:t>
      </w:r>
      <w:r>
        <w:rPr>
          <w:rFonts w:hint="eastAsia" w:eastAsia="仿宋_GB2312"/>
          <w:b/>
          <w:bCs/>
          <w:color w:val="auto"/>
          <w:sz w:val="32"/>
          <w:szCs w:val="32"/>
          <w:shd w:val="clear" w:color="auto" w:fill="FFFFFF"/>
          <w:lang w:eastAsia="zh-CN"/>
        </w:rPr>
        <w:t>）</w:t>
      </w:r>
      <w:r>
        <w:rPr>
          <w:rFonts w:hint="eastAsia" w:eastAsia="仿宋_GB2312"/>
          <w:b/>
          <w:bCs/>
          <w:color w:val="auto"/>
          <w:sz w:val="32"/>
          <w:szCs w:val="32"/>
          <w:shd w:val="clear" w:color="auto" w:fill="FFFFFF"/>
          <w:lang w:val="en-US" w:eastAsia="zh-CN"/>
        </w:rPr>
        <w:t>其他需要报告事项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textAlignment w:val="auto"/>
        <w:rPr>
          <w:rFonts w:hint="eastAsia" w:eastAsia="仿宋_GB2312"/>
          <w:color w:val="auto"/>
          <w:sz w:val="32"/>
          <w:szCs w:val="32"/>
          <w:shd w:val="clear" w:color="auto" w:fill="FFFFFF"/>
          <w:lang w:eastAsia="zh-CN"/>
        </w:rPr>
      </w:pPr>
      <w:r>
        <w:rPr>
          <w:rFonts w:eastAsia="仿宋_GB2312"/>
          <w:color w:val="auto"/>
          <w:sz w:val="32"/>
          <w:szCs w:val="32"/>
          <w:shd w:val="clear" w:color="auto" w:fill="FFFFFF"/>
          <w:lang w:eastAsia="zh-CN"/>
        </w:rPr>
        <w:t>本报告所列数据的统计时限自202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年1月1日</w:t>
      </w:r>
      <w:r>
        <w:rPr>
          <w:rFonts w:hint="eastAsia" w:eastAsia="仿宋_GB2312"/>
          <w:color w:val="auto"/>
          <w:sz w:val="32"/>
          <w:szCs w:val="32"/>
          <w:shd w:val="clear" w:color="auto" w:fill="FFFFFF"/>
          <w:lang w:val="en-US" w:eastAsia="zh-CN"/>
        </w:rPr>
        <w:t>起</w:t>
      </w:r>
      <w:r>
        <w:rPr>
          <w:rFonts w:eastAsia="仿宋_GB2312"/>
          <w:color w:val="auto"/>
          <w:sz w:val="32"/>
          <w:szCs w:val="32"/>
          <w:shd w:val="clear" w:color="auto" w:fill="FFFFFF"/>
          <w:lang w:eastAsia="zh-CN"/>
        </w:rPr>
        <w:t>至202</w:t>
      </w:r>
      <w:r>
        <w:rPr>
          <w:rFonts w:hint="eastAsia" w:eastAsia="仿宋_GB2312"/>
          <w:color w:val="auto"/>
          <w:sz w:val="32"/>
          <w:szCs w:val="32"/>
          <w:shd w:val="clear" w:color="auto" w:fill="FFFFFF"/>
          <w:lang w:val="en-US" w:eastAsia="zh-CN"/>
        </w:rPr>
        <w:t>1</w:t>
      </w:r>
      <w:r>
        <w:rPr>
          <w:rFonts w:eastAsia="仿宋_GB2312"/>
          <w:color w:val="auto"/>
          <w:sz w:val="32"/>
          <w:szCs w:val="32"/>
          <w:shd w:val="clear" w:color="auto" w:fill="FFFFFF"/>
          <w:lang w:eastAsia="zh-CN"/>
        </w:rPr>
        <w:t>年12月31日</w:t>
      </w:r>
      <w:r>
        <w:rPr>
          <w:rFonts w:hint="eastAsia" w:eastAsia="仿宋_GB2312"/>
          <w:color w:val="auto"/>
          <w:sz w:val="32"/>
          <w:szCs w:val="32"/>
          <w:shd w:val="clear" w:color="auto" w:fill="FFFFFF"/>
          <w:lang w:val="en-US" w:eastAsia="zh-CN"/>
        </w:rPr>
        <w:t>止</w:t>
      </w:r>
      <w:r>
        <w:rPr>
          <w:rFonts w:eastAsia="仿宋_GB2312"/>
          <w:color w:val="auto"/>
          <w:sz w:val="32"/>
          <w:szCs w:val="32"/>
          <w:shd w:val="clear" w:color="auto" w:fill="FFFFFF"/>
          <w:lang w:eastAsia="zh-CN"/>
        </w:rPr>
        <w:t>。如对本报告有疑问，可与</w:t>
      </w:r>
      <w:r>
        <w:rPr>
          <w:rFonts w:hint="eastAsia" w:eastAsia="仿宋_GB2312"/>
          <w:color w:val="auto"/>
          <w:sz w:val="32"/>
          <w:szCs w:val="32"/>
          <w:shd w:val="clear" w:color="auto" w:fill="FFFFFF"/>
          <w:lang w:val="en-US" w:eastAsia="zh-CN"/>
        </w:rPr>
        <w:t>市中区市场监督管理局</w:t>
      </w:r>
      <w:r>
        <w:rPr>
          <w:rFonts w:hint="eastAsia" w:eastAsia="仿宋_GB2312"/>
          <w:color w:val="auto"/>
          <w:sz w:val="32"/>
          <w:szCs w:val="32"/>
          <w:shd w:val="clear" w:color="auto" w:fill="FFFFFF"/>
          <w:lang w:eastAsia="zh-CN"/>
        </w:rPr>
        <w:t>联系（地址:</w:t>
      </w:r>
      <w:r>
        <w:rPr>
          <w:rFonts w:hint="eastAsia" w:eastAsia="仿宋_GB2312"/>
          <w:color w:val="auto"/>
          <w:sz w:val="32"/>
          <w:szCs w:val="32"/>
          <w:shd w:val="clear" w:color="auto" w:fill="FFFFFF"/>
          <w:lang w:val="en-US" w:eastAsia="zh-CN"/>
        </w:rPr>
        <w:t>枣庄市市中区建华西路100号</w:t>
      </w:r>
      <w:r>
        <w:rPr>
          <w:rFonts w:hint="eastAsia" w:eastAsia="仿宋_GB2312"/>
          <w:color w:val="auto"/>
          <w:sz w:val="32"/>
          <w:szCs w:val="32"/>
          <w:shd w:val="clear" w:color="auto" w:fill="FFFFFF"/>
          <w:lang w:eastAsia="zh-CN"/>
        </w:rPr>
        <w:t>，邮编：</w:t>
      </w:r>
      <w:r>
        <w:rPr>
          <w:rFonts w:hint="eastAsia" w:eastAsia="仿宋_GB2312"/>
          <w:color w:val="auto"/>
          <w:sz w:val="32"/>
          <w:szCs w:val="32"/>
          <w:shd w:val="clear" w:color="auto" w:fill="FFFFFF"/>
          <w:lang w:val="en-US" w:eastAsia="zh-CN"/>
        </w:rPr>
        <w:t>277100</w:t>
      </w:r>
      <w:r>
        <w:rPr>
          <w:rFonts w:hint="eastAsia" w:eastAsia="仿宋_GB2312"/>
          <w:color w:val="auto"/>
          <w:sz w:val="32"/>
          <w:szCs w:val="32"/>
          <w:shd w:val="clear" w:color="auto" w:fill="FFFFFF"/>
          <w:lang w:eastAsia="zh-CN"/>
        </w:rPr>
        <w:t>，电话：</w:t>
      </w:r>
      <w:r>
        <w:rPr>
          <w:rFonts w:hint="eastAsia" w:eastAsia="仿宋_GB2312"/>
          <w:color w:val="auto"/>
          <w:sz w:val="32"/>
          <w:szCs w:val="32"/>
          <w:shd w:val="clear" w:color="auto" w:fill="FFFFFF"/>
          <w:lang w:val="en-US" w:eastAsia="zh-CN"/>
        </w:rPr>
        <w:t>0632-3210686</w:t>
      </w:r>
      <w:r>
        <w:rPr>
          <w:rFonts w:hint="eastAsia" w:eastAsia="仿宋_GB2312"/>
          <w:color w:val="auto"/>
          <w:sz w:val="32"/>
          <w:szCs w:val="32"/>
          <w:shd w:val="clear" w:color="auto" w:fill="FFFFFF"/>
          <w:lang w:eastAsia="zh-CN"/>
        </w:rPr>
        <w:t>，</w:t>
      </w:r>
      <w:r>
        <w:rPr>
          <w:rFonts w:hint="default" w:eastAsia="仿宋_GB2312"/>
          <w:color w:val="auto"/>
          <w:sz w:val="32"/>
          <w:szCs w:val="32"/>
          <w:shd w:val="clear" w:color="auto" w:fill="FFFFFF"/>
          <w:lang w:val="en-US" w:eastAsia="zh-CN"/>
        </w:rPr>
        <w:t>电子邮箱：</w:t>
      </w:r>
      <w:r>
        <w:rPr>
          <w:rFonts w:hint="eastAsia" w:eastAsia="仿宋_GB2312"/>
          <w:color w:val="auto"/>
          <w:sz w:val="32"/>
          <w:szCs w:val="32"/>
          <w:shd w:val="clear" w:color="auto" w:fill="FFFFFF"/>
          <w:lang w:val="en-US" w:eastAsia="zh-CN"/>
        </w:rPr>
        <w:t>szqscjdgljadmin@zz.shandong.cn</w:t>
      </w:r>
      <w:r>
        <w:rPr>
          <w:rFonts w:hint="eastAsia" w:eastAsia="仿宋_GB2312"/>
          <w:color w:val="auto"/>
          <w:sz w:val="32"/>
          <w:szCs w:val="32"/>
          <w:shd w:val="clear" w:color="auto" w:fill="FFFFFF"/>
          <w:lang w:eastAsia="zh-CN"/>
        </w:rPr>
        <w:t> 。</w:t>
      </w:r>
    </w:p>
    <w:p>
      <w:pPr>
        <w:keepNext w:val="0"/>
        <w:keepLines w:val="0"/>
        <w:pageBreakBefore w:val="0"/>
        <w:widowControl/>
        <w:kinsoku/>
        <w:wordWrap/>
        <w:overflowPunct/>
        <w:topLinePunct w:val="0"/>
        <w:autoSpaceDE/>
        <w:autoSpaceDN/>
        <w:bidi w:val="0"/>
        <w:adjustRightInd/>
        <w:snapToGrid/>
        <w:spacing w:line="560" w:lineRule="exact"/>
        <w:ind w:firstLine="643" w:firstLineChars="200"/>
        <w:contextualSpacing/>
        <w:textAlignment w:val="auto"/>
        <w:rPr>
          <w:rFonts w:hint="eastAsia" w:eastAsia="仿宋_GB2312"/>
          <w:b/>
          <w:bCs/>
          <w:color w:val="auto"/>
          <w:sz w:val="32"/>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contextualSpacing/>
        <w:jc w:val="right"/>
        <w:textAlignment w:val="auto"/>
        <w:rPr>
          <w:rFonts w:hint="eastAsia" w:eastAsia="仿宋_GB2312"/>
          <w:b/>
          <w:bCs/>
          <w:color w:val="auto"/>
          <w:sz w:val="32"/>
          <w:szCs w:val="32"/>
          <w:shd w:val="clear" w:color="auto" w:fill="FFFFFF"/>
          <w:lang w:val="en-US" w:eastAsia="zh-CN"/>
        </w:rPr>
      </w:pPr>
      <w:r>
        <w:rPr>
          <w:rFonts w:hint="eastAsia" w:eastAsia="仿宋_GB2312"/>
          <w:color w:val="auto"/>
          <w:sz w:val="32"/>
          <w:szCs w:val="32"/>
          <w:shd w:val="clear" w:color="auto" w:fill="FFFFFF"/>
          <w:lang w:val="en-US" w:eastAsia="zh-CN"/>
        </w:rPr>
        <w:t>市中区市场监督管理局</w:t>
      </w:r>
    </w:p>
    <w:p>
      <w:pPr>
        <w:ind w:firstLine="5140" w:firstLineChars="1600"/>
      </w:pPr>
      <w:r>
        <w:rPr>
          <w:rFonts w:hint="eastAsia" w:eastAsia="仿宋_GB2312"/>
          <w:b/>
          <w:bCs/>
          <w:color w:val="auto"/>
          <w:sz w:val="32"/>
          <w:szCs w:val="32"/>
          <w:shd w:val="clear" w:color="auto" w:fill="FFFFFF"/>
          <w:lang w:val="en-US" w:eastAsia="zh-CN"/>
        </w:rPr>
        <w:t>2022年1月14 日</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FangSong_GB2312">
    <w:altName w:val="仿宋_GB2312"/>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- 8 -</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- 8 -</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114300" distR="114300" simplePos="0" relativeHeight="251661312" behindDoc="1" locked="0" layoutInCell="1" allowOverlap="1">
              <wp:simplePos x="0" y="0"/>
              <wp:positionH relativeFrom="page">
                <wp:posOffset>1313180</wp:posOffset>
              </wp:positionH>
              <wp:positionV relativeFrom="page">
                <wp:posOffset>9942195</wp:posOffset>
              </wp:positionV>
              <wp:extent cx="786130" cy="118745"/>
              <wp:effectExtent l="0" t="0" r="0" b="0"/>
              <wp:wrapNone/>
              <wp:docPr id="23" name="Shape 23"/>
              <wp:cNvGraphicFramePr/>
              <a:graphic xmlns:a="http://schemas.openxmlformats.org/drawingml/2006/main">
                <a:graphicData uri="http://schemas.microsoft.com/office/word/2010/wordprocessingShape">
                  <wps:wsp>
                    <wps:cNvSpPr txBox="1"/>
                    <wps:spPr>
                      <a:xfrm>
                        <a:off x="0" y="0"/>
                        <a:ext cx="786130" cy="118745"/>
                      </a:xfrm>
                      <a:prstGeom prst="rect">
                        <a:avLst/>
                      </a:prstGeom>
                      <a:noFill/>
                      <a:ln>
                        <a:noFill/>
                      </a:ln>
                      <a:effectLst/>
                    </wps:spPr>
                    <wps:txbx>
                      <w:txbxContent>
                        <w:p>
                          <w:pPr>
                            <w:pStyle w:val="10"/>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wps:txbx>
                    <wps:bodyPr wrap="none" lIns="0" tIns="0" rIns="0" bIns="0">
                      <a:spAutoFit/>
                    </wps:bodyPr>
                  </wps:wsp>
                </a:graphicData>
              </a:graphic>
            </wp:anchor>
          </w:drawing>
        </mc:Choice>
        <mc:Fallback>
          <w:pict>
            <v:shape id="Shape 23" o:spid="_x0000_s1026" o:spt="202" type="#_x0000_t202" style="position:absolute;left:0pt;margin-left:103.4pt;margin-top:782.85pt;height:9.35pt;width:61.9pt;mso-position-horizontal-relative:page;mso-position-vertical-relative:page;mso-wrap-style:none;z-index:-251655168;mso-width-relative:page;mso-height-relative:page;" filled="f" stroked="f" coordsize="21600,21600" o:gfxdata="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1QpuN2AAAAA0BAAAPAAAAAAAA&#10;AAEAIAAAACIAAABkcnMvZG93bnJldi54bWxQSwECFAAUAAAACACHTuJAcy/QQqABAABJAwAADgAA&#10;AAAAAAABACAAAAAnAQAAZHJzL2Uyb0RvYy54bWxQSwUGAAAAAAYABgBZAQAAOQUAAAAA&#10;">
              <v:fill on="f" focussize="0,0"/>
              <v:stroke on="f"/>
              <v:imagedata o:title=""/>
              <o:lock v:ext="edit" aspectratio="f"/>
              <v:textbox inset="0mm,0mm,0mm,0mm" style="mso-fit-shape-to-text:t;">
                <w:txbxContent>
                  <w:p>
                    <w:pPr>
                      <w:pStyle w:val="10"/>
                    </w:pPr>
                    <w:r>
                      <w:rPr>
                        <w:lang w:val="en-US" w:eastAsia="en-US" w:bidi="en-US"/>
                      </w:rPr>
                      <w:t>—</w:t>
                    </w:r>
                    <w:r>
                      <w:fldChar w:fldCharType="begin"/>
                    </w:r>
                    <w:r>
                      <w:instrText xml:space="preserve"> PAGE \* MERGEFORMAT </w:instrText>
                    </w:r>
                    <w:r>
                      <w:fldChar w:fldCharType="separate"/>
                    </w:r>
                    <w:r>
                      <w:t>#</w:t>
                    </w:r>
                    <w:r>
                      <w:fldChar w:fldCharType="end"/>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717D96"/>
    <w:rsid w:val="0C012F93"/>
    <w:rsid w:val="0F6003BE"/>
    <w:rsid w:val="160D3C72"/>
    <w:rsid w:val="17F06684"/>
    <w:rsid w:val="17F36F2A"/>
    <w:rsid w:val="2F8A2652"/>
    <w:rsid w:val="39313BE1"/>
    <w:rsid w:val="3D082E95"/>
    <w:rsid w:val="59303A44"/>
    <w:rsid w:val="5D760914"/>
    <w:rsid w:val="60717D96"/>
    <w:rsid w:val="65A735A0"/>
    <w:rsid w:val="739E7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8">
    <w:name w:val="Other|1"/>
    <w:basedOn w:val="1"/>
    <w:qFormat/>
    <w:uiPriority w:val="0"/>
    <w:pPr>
      <w:spacing w:line="442" w:lineRule="auto"/>
      <w:ind w:firstLine="400"/>
    </w:pPr>
    <w:rPr>
      <w:rFonts w:ascii="宋体" w:hAnsi="宋体" w:eastAsia="宋体" w:cs="宋体"/>
      <w:sz w:val="28"/>
      <w:szCs w:val="28"/>
      <w:lang w:val="zh-TW" w:eastAsia="zh-TW" w:bidi="zh-TW"/>
    </w:rPr>
  </w:style>
  <w:style w:type="paragraph" w:customStyle="1" w:styleId="9">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10">
    <w:name w:val="Header or footer|1"/>
    <w:basedOn w:val="1"/>
    <w:qFormat/>
    <w:uiPriority w:val="0"/>
    <w:rPr>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2022-01-14T01:42:00Z</dcterms:created>
  <dc:creator>Administrator</dc:creator>
  <cp:lastModifiedBy>lenovo</cp:lastModifiedBy>
  <dcterms:modified xsi:type="dcterms:W3CDTF">2022-01-20T03:32:16Z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