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光明路街道</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202</w:t>
      </w:r>
      <w:r>
        <w:rPr>
          <w:rFonts w:hint="default"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lang w:eastAsia="zh-CN"/>
        </w:rPr>
        <w:t>年政府信息公开工作年度报告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市中区光明路街道</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枣庄市市中区光明东路84号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0632-3335239</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电子邮箱：gmljdbscadmin@zz.shandong.cn</w:t>
      </w:r>
      <w:r>
        <w:rPr>
          <w:rFonts w:hint="default" w:ascii="Times New Roman" w:hAnsi="Times New Roman" w:eastAsia="仿宋_GB2312" w:cs="Times New Roman"/>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2021年，光明路街道坚持以习近平新时代中国特色社会主义思想为指导，深入贯彻落实《信息公开条例》的各项规定，全面扎实推进政务公开工作，持续规范推进政府信息公开，以公开促落实、促规范、促服务，有效提升了政务公开工作的常态化、规范化、标准化水平。</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宋体" w:cs="Times New Roman"/>
          <w:b/>
          <w:bCs w:val="0"/>
          <w:color w:val="auto"/>
          <w:sz w:val="32"/>
          <w:szCs w:val="32"/>
          <w:lang w:eastAsia="zh-CN"/>
        </w:rPr>
      </w:pPr>
      <w:r>
        <w:rPr>
          <w:rFonts w:hint="default" w:ascii="Times New Roman" w:hAnsi="Times New Roman" w:eastAsia="宋体" w:cs="Times New Roman"/>
          <w:b/>
          <w:bCs w:val="0"/>
          <w:color w:val="auto"/>
          <w:sz w:val="32"/>
          <w:szCs w:val="32"/>
          <w:lang w:eastAsia="zh-CN"/>
        </w:rPr>
        <w:t>主动公开情况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仿宋_GB2312" w:cs="Times New Roman"/>
          <w:bCs/>
          <w:color w:val="auto"/>
          <w:kern w:val="0"/>
          <w:sz w:val="32"/>
          <w:szCs w:val="32"/>
          <w:highlight w:val="none"/>
          <w:lang w:val="en-US" w:eastAsia="zh-CN" w:bidi="en-US"/>
        </w:rPr>
        <w:t>主动公开信息2927条，其中在政府门户网站公开401条，</w:t>
      </w:r>
      <w:r>
        <w:rPr>
          <w:rFonts w:hint="default" w:ascii="Times New Roman" w:hAnsi="Times New Roman" w:eastAsia="仿宋_GB2312" w:cs="Times New Roman"/>
          <w:bCs/>
          <w:color w:val="auto"/>
          <w:sz w:val="32"/>
          <w:szCs w:val="32"/>
          <w:highlight w:val="none"/>
          <w:lang w:val="en-US" w:eastAsia="zh-CN"/>
        </w:rPr>
        <w:t>政务新媒体公开300余条，其他渠道公开2226条。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宋体" w:cs="Times New Roman"/>
          <w:b/>
          <w:bCs w:val="0"/>
          <w:color w:val="auto"/>
          <w:sz w:val="32"/>
          <w:szCs w:val="32"/>
          <w:lang w:eastAsia="zh-CN"/>
        </w:rPr>
      </w:pPr>
      <w:r>
        <w:rPr>
          <w:rFonts w:hint="default" w:ascii="Times New Roman" w:hAnsi="Times New Roman" w:eastAsia="宋体" w:cs="Times New Roman"/>
          <w:b/>
          <w:bCs w:val="0"/>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共受理政府信息公开申请</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件，其中予以公开申请</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件，部分公开</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件，不予公开</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件，无法提供</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件，不予处理</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因政府信息公开被申请行政复议</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件，因公民、法人和其他组织认为行政机关政府信息公开工作具体行政行为侵犯其合法权益，提起行政诉讼</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宋体" w:cs="Times New Roman"/>
          <w:b/>
          <w:bCs w:val="0"/>
          <w:color w:val="auto"/>
          <w:sz w:val="32"/>
          <w:szCs w:val="32"/>
          <w:lang w:eastAsia="zh-CN"/>
        </w:rPr>
      </w:pPr>
      <w:r>
        <w:rPr>
          <w:rFonts w:hint="default" w:ascii="Times New Roman" w:hAnsi="Times New Roman" w:eastAsia="宋体" w:cs="Times New Roman"/>
          <w:b/>
          <w:bCs w:val="0"/>
          <w:color w:val="auto"/>
          <w:sz w:val="32"/>
          <w:szCs w:val="32"/>
          <w:lang w:eastAsia="zh-CN"/>
        </w:rPr>
        <w:t>（三）政府信息管理情况</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健全信息公开各项制度。成立政府信息公开领导小组，对信息公开传送和平台管理落实了专人负责，并进一步完善了政务公开各项制度，主动、及时、规范、准确公开应当公开的政府信息，切实做到应公开尽公开。同时做好公开信息的保密审查。高度重视政府信息公开保密的审查、注重政府信息公开的内容准确性，按照“先审查、后公开”的原则，严格做好政府信息公开保密审查，确保公开信息不涉密、涉密信息不公开，确保政府信息公开持续良好开展。</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宋体" w:cs="Times New Roman"/>
          <w:b/>
          <w:bCs w:val="0"/>
          <w:color w:val="auto"/>
          <w:sz w:val="32"/>
          <w:szCs w:val="32"/>
          <w:lang w:eastAsia="zh-CN"/>
        </w:rPr>
      </w:pPr>
      <w:r>
        <w:rPr>
          <w:rFonts w:hint="default" w:ascii="Times New Roman" w:hAnsi="Times New Roman" w:eastAsia="宋体" w:cs="Times New Roman"/>
          <w:b/>
          <w:bCs w:val="0"/>
          <w:color w:val="auto"/>
          <w:sz w:val="32"/>
          <w:szCs w:val="32"/>
          <w:lang w:eastAsia="zh-CN"/>
        </w:rPr>
        <w:t>（四）平台建设情况</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依托“政府网站”、“美丽光明”等平台发布信息，推动政务公开信息向不同群体精准推送，提升群众获取政府信息的便利度和幸福感。　　</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宋体" w:cs="Times New Roman"/>
          <w:b/>
          <w:bCs w:val="0"/>
          <w:color w:val="auto"/>
          <w:sz w:val="32"/>
          <w:szCs w:val="32"/>
          <w:lang w:eastAsia="zh-CN"/>
        </w:rPr>
      </w:pPr>
      <w:r>
        <w:rPr>
          <w:rFonts w:hint="default" w:ascii="Times New Roman" w:hAnsi="Times New Roman" w:eastAsia="宋体" w:cs="Times New Roman"/>
          <w:b/>
          <w:bCs w:val="0"/>
          <w:color w:val="auto"/>
          <w:sz w:val="32"/>
          <w:szCs w:val="32"/>
          <w:lang w:eastAsia="zh-CN"/>
        </w:rPr>
        <w:t>（五）监督保障方面</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成立政府信息公开领导小组，专人负责信息公开传送和平台管理。</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仿宋_GB2312" w:cs="Times New Roman"/>
          <w:bCs/>
          <w:color w:val="auto"/>
          <w:sz w:val="32"/>
          <w:szCs w:val="32"/>
        </w:rPr>
      </w:pP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仿宋_GB2312" w:cs="Times New Roman"/>
          <w:bCs/>
          <w:color w:val="auto"/>
          <w:sz w:val="32"/>
          <w:szCs w:val="32"/>
        </w:rPr>
      </w:pP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第二十条第（一）项</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left="1060"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对外公开总数量</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eastAsia="zh-CN"/>
              </w:rPr>
              <w:t>0</w:t>
            </w:r>
          </w:p>
        </w:tc>
      </w:tr>
      <w:tr>
        <w:tblPrEx>
          <w:tblLayout w:type="fixed"/>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第二十条第（五）项</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left="1060"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处理决定数量</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r>
      <w:tr>
        <w:tblPrEx>
          <w:tblLayout w:type="fixed"/>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第二十条第（六）项</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left="1060"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处理决定数量</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eastAsia="zh-CN"/>
              </w:rPr>
              <w:t>0</w:t>
            </w:r>
          </w:p>
        </w:tc>
      </w:tr>
      <w:tr>
        <w:tblPrEx>
          <w:tblLayout w:type="fixed"/>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第二十条第（八）项</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left="1060"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本年增/减</w:t>
            </w:r>
          </w:p>
        </w:tc>
      </w:tr>
      <w:tr>
        <w:tblPrEx>
          <w:tblLayout w:type="fixed"/>
          <w:tblCellMar>
            <w:top w:w="0" w:type="dxa"/>
            <w:left w:w="10" w:type="dxa"/>
            <w:bottom w:w="0" w:type="dxa"/>
            <w:right w:w="10" w:type="dxa"/>
          </w:tblCellMar>
        </w:tblPrEx>
        <w:trPr>
          <w:trHeight w:val="567"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
          <w:szCs w:val="2"/>
        </w:rPr>
      </w:pPr>
      <w:r>
        <w:rPr>
          <w:rFonts w:hint="default" w:ascii="Times New Roman" w:hAnsi="Times New Roman" w:cs="Times New Roman"/>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397" w:hRule="atLeas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申请人情况</w:t>
            </w:r>
          </w:p>
        </w:tc>
      </w:tr>
      <w:tr>
        <w:tblPrEx>
          <w:tblLayout w:type="fixed"/>
          <w:tblCellMar>
            <w:top w:w="0" w:type="dxa"/>
            <w:left w:w="10" w:type="dxa"/>
            <w:bottom w:w="0" w:type="dxa"/>
            <w:right w:w="10" w:type="dxa"/>
          </w:tblCellMar>
        </w:tblPrEx>
        <w:trPr>
          <w:trHeight w:val="397" w:hRule="atLeas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总计</w:t>
            </w:r>
          </w:p>
        </w:tc>
      </w:tr>
      <w:tr>
        <w:tblPrEx>
          <w:tblLayout w:type="fixed"/>
          <w:tblCellMar>
            <w:top w:w="0" w:type="dxa"/>
            <w:left w:w="10" w:type="dxa"/>
            <w:bottom w:w="0" w:type="dxa"/>
            <w:right w:w="10" w:type="dxa"/>
          </w:tblCellMar>
        </w:tblPrEx>
        <w:trPr>
          <w:trHeight w:val="397" w:hRule="atLeas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10"/>
                <w:szCs w:val="10"/>
                <w:lang w:eastAsia="zh-CN"/>
              </w:rPr>
            </w:pPr>
            <w:r>
              <w:rPr>
                <w:rFonts w:hint="default" w:ascii="Times New Roman" w:hAnsi="Times New Roman" w:eastAsia="仿宋_GB2312" w:cs="Times New Roman"/>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r>
      <w:tr>
        <w:tblPrEx>
          <w:tblLayout w:type="fixed"/>
          <w:tblCellMar>
            <w:top w:w="0" w:type="dxa"/>
            <w:left w:w="10" w:type="dxa"/>
            <w:bottom w:w="0" w:type="dxa"/>
            <w:right w:w="10" w:type="dxa"/>
          </w:tblCellMar>
        </w:tblPrEx>
        <w:trPr>
          <w:trHeight w:val="397" w:hRule="atLeas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22"/>
                <w:szCs w:val="22"/>
                <w:lang w:val="en-US" w:eastAsia="zh-CN"/>
              </w:rPr>
              <w:t>16</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22"/>
                <w:szCs w:val="22"/>
                <w:lang w:val="en-US" w:eastAsia="zh-CN"/>
              </w:rPr>
              <w:t>16</w:t>
            </w:r>
          </w:p>
        </w:tc>
      </w:tr>
      <w:tr>
        <w:tblPrEx>
          <w:tblLayout w:type="fixed"/>
          <w:tblCellMar>
            <w:top w:w="0" w:type="dxa"/>
            <w:left w:w="10" w:type="dxa"/>
            <w:bottom w:w="0" w:type="dxa"/>
            <w:right w:w="10" w:type="dxa"/>
          </w:tblCellMar>
        </w:tblPrEx>
        <w:trPr>
          <w:trHeight w:val="397" w:hRule="atLeas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3</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3</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1.</w:t>
            </w:r>
            <w:r>
              <w:rPr>
                <w:rFonts w:hint="default" w:ascii="Times New Roman" w:hAnsi="Times New Roman" w:eastAsia="仿宋_GB2312" w:cs="Times New Roman"/>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2.</w:t>
            </w:r>
            <w:r>
              <w:rPr>
                <w:rFonts w:hint="default" w:ascii="Times New Roman" w:hAnsi="Times New Roman" w:eastAsia="仿宋_GB2312" w:cs="Times New Roman"/>
                <w:color w:val="auto"/>
                <w:sz w:val="20"/>
                <w:szCs w:val="20"/>
                <w:lang w:eastAsia="zh-CN"/>
              </w:rPr>
              <w:t>其他法律行政法规</w:t>
            </w:r>
            <w:r>
              <w:rPr>
                <w:rFonts w:hint="default" w:ascii="Times New Roman" w:hAnsi="Times New Roman" w:eastAsia="仿宋_GB2312" w:cs="Times New Roman"/>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3.</w:t>
            </w:r>
            <w:r>
              <w:rPr>
                <w:rFonts w:hint="default" w:ascii="Times New Roman" w:hAnsi="Times New Roman" w:eastAsia="仿宋_GB2312" w:cs="Times New Roman"/>
                <w:color w:val="auto"/>
                <w:sz w:val="20"/>
                <w:szCs w:val="20"/>
              </w:rPr>
              <w:t>危及</w:t>
            </w:r>
            <w:r>
              <w:rPr>
                <w:rFonts w:hint="default" w:ascii="Times New Roman" w:hAnsi="Times New Roman" w:eastAsia="仿宋_GB2312" w:cs="Times New Roman"/>
                <w:color w:val="auto"/>
                <w:sz w:val="20"/>
                <w:szCs w:val="20"/>
                <w:lang w:val="zh-CN" w:eastAsia="zh-CN" w:bidi="zh-CN"/>
              </w:rPr>
              <w:t>“三</w:t>
            </w:r>
            <w:r>
              <w:rPr>
                <w:rFonts w:hint="default" w:ascii="Times New Roman" w:hAnsi="Times New Roman" w:eastAsia="仿宋_GB2312" w:cs="Times New Roman"/>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4.</w:t>
            </w:r>
            <w:r>
              <w:rPr>
                <w:rFonts w:hint="default" w:ascii="Times New Roman" w:hAnsi="Times New Roman" w:eastAsia="仿宋_GB2312" w:cs="Times New Roman"/>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eastAsia" w:eastAsia="仿宋_GB2312" w:cs="Times New Roman"/>
                <w:color w:val="auto"/>
                <w:sz w:val="22"/>
                <w:szCs w:val="22"/>
                <w:lang w:val="en-US" w:eastAsia="zh-CN"/>
              </w:rPr>
              <w:t>7</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eastAsia" w:eastAsia="仿宋_GB2312" w:cs="Times New Roman"/>
                <w:color w:val="auto"/>
                <w:sz w:val="22"/>
                <w:szCs w:val="22"/>
                <w:lang w:val="en-US" w:eastAsia="zh-CN"/>
              </w:rPr>
              <w:t>7</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5.</w:t>
            </w:r>
            <w:r>
              <w:rPr>
                <w:rFonts w:hint="default" w:ascii="Times New Roman" w:hAnsi="Times New Roman" w:eastAsia="仿宋_GB2312" w:cs="Times New Roman"/>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6.</w:t>
            </w:r>
            <w:r>
              <w:rPr>
                <w:rFonts w:hint="default" w:ascii="Times New Roman" w:hAnsi="Times New Roman" w:eastAsia="仿宋_GB2312" w:cs="Times New Roman"/>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eastAsia" w:eastAsia="仿宋_GB2312" w:cs="Times New Roman"/>
                <w:color w:val="auto"/>
                <w:sz w:val="22"/>
                <w:szCs w:val="22"/>
                <w:lang w:val="en-US" w:eastAsia="zh-CN"/>
              </w:rPr>
              <w:t>3</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eastAsia" w:eastAsia="仿宋_GB2312" w:cs="Times New Roman"/>
                <w:color w:val="auto"/>
                <w:sz w:val="22"/>
                <w:szCs w:val="22"/>
                <w:lang w:val="en-US" w:eastAsia="zh-CN"/>
              </w:rPr>
              <w:t>3</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7.</w:t>
            </w:r>
            <w:r>
              <w:rPr>
                <w:rFonts w:hint="default" w:ascii="Times New Roman" w:hAnsi="Times New Roman" w:eastAsia="仿宋_GB2312" w:cs="Times New Roman"/>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8.</w:t>
            </w:r>
            <w:r>
              <w:rPr>
                <w:rFonts w:hint="default" w:ascii="Times New Roman" w:hAnsi="Times New Roman" w:eastAsia="仿宋_GB2312" w:cs="Times New Roman"/>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eastAsia" w:eastAsia="仿宋_GB2312" w:cs="Times New Roman"/>
                <w:color w:val="auto"/>
                <w:sz w:val="22"/>
                <w:szCs w:val="22"/>
                <w:lang w:val="en-US" w:eastAsia="zh-CN"/>
              </w:rPr>
              <w:t>3</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eastAsia" w:eastAsia="仿宋_GB2312" w:cs="Times New Roman"/>
                <w:color w:val="auto"/>
                <w:sz w:val="22"/>
                <w:szCs w:val="22"/>
                <w:lang w:val="en-US" w:eastAsia="zh-CN"/>
              </w:rPr>
              <w:t>3</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1.</w:t>
            </w:r>
            <w:r>
              <w:rPr>
                <w:rFonts w:hint="default" w:ascii="Times New Roman" w:hAnsi="Times New Roman" w:eastAsia="仿宋_GB2312" w:cs="Times New Roman"/>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2.</w:t>
            </w:r>
            <w:r>
              <w:rPr>
                <w:rFonts w:hint="default" w:ascii="Times New Roman" w:hAnsi="Times New Roman" w:eastAsia="仿宋_GB2312" w:cs="Times New Roman"/>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3.</w:t>
            </w:r>
            <w:r>
              <w:rPr>
                <w:rFonts w:hint="default" w:ascii="Times New Roman" w:hAnsi="Times New Roman" w:eastAsia="仿宋_GB2312" w:cs="Times New Roman"/>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（五）不予处理</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1.</w:t>
            </w:r>
            <w:r>
              <w:rPr>
                <w:rFonts w:hint="default" w:ascii="Times New Roman" w:hAnsi="Times New Roman" w:eastAsia="仿宋_GB2312" w:cs="Times New Roman"/>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2.</w:t>
            </w:r>
            <w:r>
              <w:rPr>
                <w:rFonts w:hint="default" w:ascii="Times New Roman" w:hAnsi="Times New Roman" w:eastAsia="仿宋_GB2312" w:cs="Times New Roman"/>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3.</w:t>
            </w:r>
            <w:r>
              <w:rPr>
                <w:rFonts w:hint="default" w:ascii="Times New Roman" w:hAnsi="Times New Roman" w:eastAsia="仿宋_GB2312" w:cs="Times New Roman"/>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4.</w:t>
            </w:r>
            <w:r>
              <w:rPr>
                <w:rFonts w:hint="default" w:ascii="Times New Roman" w:hAnsi="Times New Roman" w:eastAsia="仿宋_GB2312" w:cs="Times New Roman"/>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40" w:hanging="34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5.</w:t>
            </w:r>
            <w:r>
              <w:rPr>
                <w:rFonts w:hint="default" w:ascii="Times New Roman" w:hAnsi="Times New Roman" w:eastAsia="仿宋_GB2312" w:cs="Times New Roman"/>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r>
        <w:tblPrEx>
          <w:tblLayout w:type="fixed"/>
          <w:tblCellMar>
            <w:top w:w="0" w:type="dxa"/>
            <w:left w:w="10" w:type="dxa"/>
            <w:bottom w:w="0" w:type="dxa"/>
            <w:right w:w="10" w:type="dxa"/>
          </w:tblCellMar>
        </w:tblPrEx>
        <w:trPr>
          <w:trHeight w:val="397" w:hRule="atLeas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22"/>
                <w:szCs w:val="22"/>
                <w:lang w:val="en-US" w:eastAsia="zh-CN"/>
              </w:rPr>
              <w:t>16</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22"/>
                <w:szCs w:val="22"/>
                <w:lang w:val="en-US" w:eastAsia="zh-CN"/>
              </w:rPr>
              <w:t>16</w:t>
            </w:r>
            <w:bookmarkStart w:id="1" w:name="_GoBack"/>
            <w:bookmarkEnd w:id="1"/>
          </w:p>
        </w:tc>
      </w:tr>
      <w:tr>
        <w:tblPrEx>
          <w:tblLayout w:type="fixed"/>
          <w:tblCellMar>
            <w:top w:w="0" w:type="dxa"/>
            <w:left w:w="10" w:type="dxa"/>
            <w:bottom w:w="0" w:type="dxa"/>
            <w:right w:w="10" w:type="dxa"/>
          </w:tblCellMar>
        </w:tblPrEx>
        <w:trPr>
          <w:trHeight w:val="397" w:hRule="atLeas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eastAsia="zh-CN"/>
        </w:rPr>
        <w:sectPr>
          <w:headerReference r:id="rId3" w:type="default"/>
          <w:footerReference r:id="rId5" w:type="default"/>
          <w:headerReference r:id="rId4" w:type="even"/>
          <w:footerReference r:id="rId6" w:type="even"/>
          <w:pgSz w:w="11900" w:h="16840"/>
          <w:pgMar w:top="1644" w:right="1644" w:bottom="1644" w:left="1644"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bookmarkStart w:id="0" w:name="bookmark39"/>
      <w:r>
        <w:rPr>
          <w:rFonts w:hint="default" w:ascii="Times New Roman" w:hAnsi="Times New Roman" w:eastAsia="黑体" w:cs="Times New Roman"/>
          <w:bCs/>
          <w:color w:val="auto"/>
          <w:sz w:val="32"/>
          <w:szCs w:val="32"/>
        </w:rPr>
        <w:t>四</w:t>
      </w:r>
      <w:bookmarkEnd w:id="0"/>
      <w:r>
        <w:rPr>
          <w:rFonts w:hint="default"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1075"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color w:val="auto"/>
                <w:sz w:val="22"/>
                <w:szCs w:val="22"/>
                <w:lang w:val="en-US" w:eastAsia="zh-CN"/>
              </w:rPr>
              <w:t>0</w:t>
            </w:r>
          </w:p>
        </w:tc>
      </w:tr>
    </w:tbl>
    <w:p>
      <w:pPr>
        <w:pStyle w:val="9"/>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街道政务信息公开工作虽然取得了一定的成就，但在政府信息公开的工作中还存在一些问题与不足。主要表现在以下几个方面：一是政府信息公开工作人员不足，工作量大，需要进一步扩充队伍。二是政府信息公开更新不够及时，需进一步提升信息公开的质量和速度。三是政府信息公开渠道较为单一，需要进一步扩充公开渠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下一步，街道将继续认真贯彻落实党中央、国务院和省、市、区关于政府信息公开工作的部署要求，进一步调整优化公开目录，培养扩充人员队伍，深入拓展公开渠道，持续丰富公开形式，及时回应社会关切，不断提升政府信息公开工作力度和实效，确保政府信息工作顺利开展。</w:t>
      </w:r>
    </w:p>
    <w:p>
      <w:pPr>
        <w:pStyle w:val="9"/>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val="0"/>
          <w:bCs w:val="0"/>
          <w:color w:val="auto"/>
          <w:sz w:val="32"/>
          <w:szCs w:val="32"/>
          <w:lang w:val="en-US"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2021年，市中区</w:t>
      </w:r>
      <w:r>
        <w:rPr>
          <w:rFonts w:hint="eastAsia" w:eastAsia="仿宋_GB2312" w:cs="Times New Roman"/>
          <w:color w:val="auto"/>
          <w:sz w:val="32"/>
          <w:szCs w:val="32"/>
          <w:lang w:val="en-US" w:eastAsia="zh-CN"/>
        </w:rPr>
        <w:t>光明路街道办事处</w:t>
      </w:r>
      <w:r>
        <w:rPr>
          <w:rFonts w:hint="default" w:ascii="Times New Roman" w:hAnsi="Times New Roman" w:eastAsia="仿宋_GB2312" w:cs="Times New Roman"/>
          <w:color w:val="auto"/>
          <w:sz w:val="32"/>
          <w:szCs w:val="32"/>
          <w:lang w:eastAsia="zh-CN"/>
        </w:rPr>
        <w:t>共承办</w:t>
      </w:r>
      <w:r>
        <w:rPr>
          <w:rFonts w:hint="default" w:ascii="Times New Roman" w:hAnsi="Times New Roman" w:eastAsia="仿宋_GB2312" w:cs="Times New Roman"/>
          <w:color w:val="auto"/>
          <w:sz w:val="32"/>
          <w:szCs w:val="32"/>
          <w:lang w:val="en-US" w:eastAsia="zh-CN"/>
        </w:rPr>
        <w:t>区级人大代表建议13件，办复率100%；承办区政协委员提案24件，办复率</w:t>
      </w:r>
      <w:r>
        <w:rPr>
          <w:rFonts w:hint="default" w:ascii="Times New Roman" w:hAnsi="Times New Roman" w:eastAsia="仿宋_GB2312" w:cs="Times New Roman"/>
          <w:color w:val="auto"/>
          <w:sz w:val="32"/>
          <w:szCs w:val="32"/>
          <w:lang w:eastAsia="zh-CN"/>
        </w:rPr>
        <w:t>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b w:val="0"/>
          <w:bCs w:val="0"/>
          <w:color w:val="auto"/>
          <w:sz w:val="32"/>
          <w:szCs w:val="32"/>
          <w:lang w:eastAsia="zh-CN"/>
        </w:rPr>
      </w:pPr>
      <w:r>
        <w:rPr>
          <w:rFonts w:hint="default" w:ascii="Times New Roman" w:hAnsi="Times New Roman" w:eastAsia="宋体" w:cs="Times New Roman"/>
          <w:b w:val="0"/>
          <w:bCs w:val="0"/>
          <w:color w:val="auto"/>
          <w:sz w:val="32"/>
          <w:szCs w:val="32"/>
          <w:lang w:eastAsia="zh-CN"/>
        </w:rPr>
        <w:t>（</w:t>
      </w:r>
      <w:r>
        <w:rPr>
          <w:rFonts w:hint="default" w:ascii="Times New Roman" w:hAnsi="Times New Roman" w:eastAsia="宋体" w:cs="Times New Roman"/>
          <w:b w:val="0"/>
          <w:bCs w:val="0"/>
          <w:color w:val="auto"/>
          <w:sz w:val="32"/>
          <w:szCs w:val="32"/>
          <w:lang w:val="en-US" w:eastAsia="zh-CN"/>
        </w:rPr>
        <w:t>二</w:t>
      </w:r>
      <w:r>
        <w:rPr>
          <w:rFonts w:hint="default" w:ascii="Times New Roman" w:hAnsi="Times New Roman" w:eastAsia="宋体" w:cs="Times New Roman"/>
          <w:b w:val="0"/>
          <w:bCs w:val="0"/>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宋体" w:cs="Times New Roman"/>
          <w:b w:val="0"/>
          <w:bCs w:val="0"/>
          <w:color w:val="auto"/>
          <w:sz w:val="32"/>
          <w:szCs w:val="32"/>
          <w:shd w:val="clear" w:color="auto" w:fill="FFFFFF"/>
          <w:lang w:val="en-US" w:eastAsia="zh-CN"/>
        </w:rPr>
      </w:pPr>
      <w:r>
        <w:rPr>
          <w:rFonts w:hint="default" w:ascii="Times New Roman" w:hAnsi="Times New Roman" w:eastAsia="宋体" w:cs="Times New Roman"/>
          <w:b w:val="0"/>
          <w:bCs w:val="0"/>
          <w:color w:val="auto"/>
          <w:sz w:val="32"/>
          <w:szCs w:val="32"/>
          <w:shd w:val="clear" w:color="auto" w:fill="FFFFFF"/>
          <w:lang w:eastAsia="zh-CN"/>
        </w:rPr>
        <w:t>（</w:t>
      </w:r>
      <w:r>
        <w:rPr>
          <w:rFonts w:hint="default" w:ascii="Times New Roman" w:hAnsi="Times New Roman" w:eastAsia="宋体" w:cs="Times New Roman"/>
          <w:b w:val="0"/>
          <w:bCs w:val="0"/>
          <w:color w:val="auto"/>
          <w:sz w:val="32"/>
          <w:szCs w:val="32"/>
          <w:shd w:val="clear" w:color="auto" w:fill="FFFFFF"/>
          <w:lang w:val="en-US" w:eastAsia="zh-CN"/>
        </w:rPr>
        <w:t>三</w:t>
      </w:r>
      <w:r>
        <w:rPr>
          <w:rFonts w:hint="default" w:ascii="Times New Roman" w:hAnsi="Times New Roman" w:eastAsia="宋体" w:cs="Times New Roman"/>
          <w:b w:val="0"/>
          <w:bCs w:val="0"/>
          <w:color w:val="auto"/>
          <w:sz w:val="32"/>
          <w:szCs w:val="32"/>
          <w:shd w:val="clear" w:color="auto" w:fill="FFFFFF"/>
          <w:lang w:eastAsia="zh-CN"/>
        </w:rPr>
        <w:t>）</w:t>
      </w:r>
      <w:r>
        <w:rPr>
          <w:rFonts w:hint="default" w:ascii="Times New Roman" w:hAnsi="Times New Roman" w:eastAsia="宋体" w:cs="Times New Roman"/>
          <w:b w:val="0"/>
          <w:bCs w:val="0"/>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eastAsia="zh-CN"/>
        </w:rPr>
        <w:t>本报告所列数据的统计时限自202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市中区光明路街道办事处</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枣庄市市中区光明东路84号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0632-3335239</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电子邮箱：gmljdbscadmin@zz.shandong.cn</w:t>
      </w:r>
      <w:r>
        <w:rPr>
          <w:rFonts w:hint="default" w:ascii="Times New Roman" w:hAnsi="Times New Roman" w:eastAsia="仿宋_GB2312" w:cs="Times New Roman"/>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光明路街道办事处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center"/>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2022年1月 14日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7ED37"/>
    <w:multiLevelType w:val="singleLevel"/>
    <w:tmpl w:val="96D7ED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1FD42FD"/>
    <w:rsid w:val="021D046B"/>
    <w:rsid w:val="025E0CC2"/>
    <w:rsid w:val="0A3E1141"/>
    <w:rsid w:val="0B8F2AB2"/>
    <w:rsid w:val="101A475B"/>
    <w:rsid w:val="186A458C"/>
    <w:rsid w:val="195700EA"/>
    <w:rsid w:val="1AAF71B2"/>
    <w:rsid w:val="1D276D79"/>
    <w:rsid w:val="1D4E2F7D"/>
    <w:rsid w:val="2007106B"/>
    <w:rsid w:val="20F65EC4"/>
    <w:rsid w:val="24B65C7B"/>
    <w:rsid w:val="271F6DB2"/>
    <w:rsid w:val="28BE4FD8"/>
    <w:rsid w:val="2A366FA5"/>
    <w:rsid w:val="2B247393"/>
    <w:rsid w:val="2B7E7F7A"/>
    <w:rsid w:val="2BB10D76"/>
    <w:rsid w:val="34C27E73"/>
    <w:rsid w:val="372B44B7"/>
    <w:rsid w:val="37DD4F2A"/>
    <w:rsid w:val="3CA63654"/>
    <w:rsid w:val="3F5E627C"/>
    <w:rsid w:val="424E6C95"/>
    <w:rsid w:val="4A263FB9"/>
    <w:rsid w:val="4F3148DA"/>
    <w:rsid w:val="54900F47"/>
    <w:rsid w:val="5511304F"/>
    <w:rsid w:val="5A891C07"/>
    <w:rsid w:val="5AE6494C"/>
    <w:rsid w:val="5CEF320B"/>
    <w:rsid w:val="5EA95810"/>
    <w:rsid w:val="61F1622A"/>
    <w:rsid w:val="62A02DE5"/>
    <w:rsid w:val="62DF0CAC"/>
    <w:rsid w:val="64490C92"/>
    <w:rsid w:val="69333F52"/>
    <w:rsid w:val="72530504"/>
    <w:rsid w:val="72BB477E"/>
    <w:rsid w:val="743334DA"/>
    <w:rsid w:val="754C48A1"/>
    <w:rsid w:val="75F9180B"/>
    <w:rsid w:val="788F58D0"/>
    <w:rsid w:val="7BE7386D"/>
    <w:rsid w:val="7D726BF8"/>
    <w:rsid w:val="7F29223C"/>
    <w:rsid w:val="7F2D68BD"/>
    <w:rsid w:val="7F6B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22</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2021-11-02T09:59:00Z</dcterms:created>
  <dc:creator>p</dc:creator>
  <cp:lastModifiedBy>lenovo</cp:lastModifiedBy>
  <cp:lastPrinted>2021-11-02T10:00:00Z</cp:lastPrinted>
  <dcterms:modified xsi:type="dcterms:W3CDTF">2022-01-20T03:23:32Z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4866C4D3242F41599C682EF44544C73E</vt:lpwstr>
  </property>
</Properties>
</file>