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val="en-US" w:eastAsia="zh-CN"/>
        </w:rPr>
        <w:t>市中区工业和信息化局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eastAsia="zh-CN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根据《中华人民共和国政府信息公开条例》、《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国务院办公厅政府信息与政务公开办公室关于印发《中华人民共和国政府信息公开工作年度报告格式》的通知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》（国办公开办函〔20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号）和省、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有关工作要求，编制本报告并向社会公开。本年度报告电子版可从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市中区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人民政府门户网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站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http://www.zzszq.gov.cn/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）查阅或下载。本报告所列数据的统计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期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限自202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年1月1日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起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至202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年12月31日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止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。如对本报告有疑问，可与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市中区工信局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联系（地址: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枣庄市市中区龙头西路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邮编：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277100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，电话：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0632-3252082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电子邮箱：gxj3252082@zz.shandong.cn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eastAsia="黑体"/>
          <w:color w:val="auto"/>
          <w:sz w:val="32"/>
          <w:szCs w:val="32"/>
          <w:shd w:val="clear" w:color="auto" w:fill="FFFFFF"/>
          <w:lang w:eastAsia="zh-CN"/>
        </w:rPr>
        <w:t>—</w:t>
      </w:r>
      <w:r>
        <w:rPr>
          <w:rFonts w:hAnsi="黑体" w:eastAsia="黑体"/>
          <w:color w:val="auto"/>
          <w:sz w:val="32"/>
          <w:szCs w:val="32"/>
          <w:shd w:val="clear" w:color="auto" w:fill="FFFFFF"/>
          <w:lang w:eastAsia="zh-CN"/>
        </w:rPr>
        <w:t>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2021年，区工信局认真贯彻落实党中央、国务院和省、市、区关于政府信息公开工作的部署要求，进一步调整优化公开目录，深入拓展公开渠道，持续丰富公开形式，及时回应社会关切，不断提升政府信息公开工作力度和实效，全面深化政务公开，持续规范推进政府信息公开，以公开促落实、促规范、促服务，有效促进了政务公开工作的常态化、规范化、标准化水平，政府信息公开水平实现新的突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Ansi="黑体" w:eastAsia="黑体"/>
          <w:bCs/>
          <w:color w:val="auto"/>
          <w:sz w:val="32"/>
          <w:szCs w:val="32"/>
          <w:lang w:eastAsia="zh-CN"/>
        </w:rPr>
      </w:pPr>
      <w:r>
        <w:rPr>
          <w:rFonts w:hAnsi="黑体" w:eastAsia="黑体"/>
          <w:bCs/>
          <w:color w:val="auto"/>
          <w:sz w:val="32"/>
          <w:szCs w:val="32"/>
          <w:lang w:eastAsia="zh-CN"/>
        </w:rPr>
        <w:t>主动公开情况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主动公开信息79条，其中在政府门户网站公开63条，政务新媒体公开0条，其他渠道公开16条，召开新闻发布会1次。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eastAsia="黑体"/>
          <w:bCs/>
          <w:color w:val="auto"/>
          <w:sz w:val="32"/>
          <w:szCs w:val="32"/>
          <w:lang w:eastAsia="zh-CN"/>
        </w:rPr>
      </w:pPr>
      <w:r>
        <w:rPr>
          <w:rFonts w:hAnsi="黑体" w:eastAsia="黑体"/>
          <w:bCs/>
          <w:color w:val="auto"/>
          <w:sz w:val="32"/>
          <w:szCs w:val="32"/>
          <w:lang w:eastAsia="zh-CN"/>
        </w:rPr>
        <w:t>（二）依申请公开办理情况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共受理政府信息公开申请</w:t>
      </w:r>
      <w:r>
        <w:rPr>
          <w:rFonts w:hint="eastAsia" w:ascii="仿宋_GB2312" w:eastAsia="仿宋_GB2312"/>
          <w:color w:val="C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lang w:eastAsia="zh-CN"/>
        </w:rPr>
      </w:pPr>
      <w:r>
        <w:rPr>
          <w:rFonts w:hAnsi="黑体" w:eastAsia="黑体"/>
          <w:bCs/>
          <w:color w:val="auto"/>
          <w:sz w:val="32"/>
          <w:szCs w:val="32"/>
          <w:lang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坚持以人为本、执政为民的理念，不断推进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区工信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局政务公开工作,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区工信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局建立政府信息公开工作领导小组，明确分工、压实责任，指派专职人员具体承办本局的公开事宜并对其加强业务培训，做到每一项公开内容与其公开形式、时间一一对应。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通过开展政务公开标准化建设，统一规范政务公开的组织机构、内容、形式、时间、程序、监督和保障，促进全局的政务公开水平进一步提升。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主动公开的政府信息主要根据公文处理单的分类公开，主要涉及：人大建议、政协提案的答复；政府年度信息公开报告；安全生产、产业政策、反恐防范等相关工作文件。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color w:val="auto"/>
          <w:sz w:val="32"/>
          <w:szCs w:val="32"/>
          <w:lang w:eastAsia="zh-CN"/>
        </w:rPr>
      </w:pPr>
      <w:r>
        <w:rPr>
          <w:rFonts w:eastAsia="黑体"/>
          <w:bCs/>
          <w:color w:val="auto"/>
          <w:sz w:val="32"/>
          <w:szCs w:val="32"/>
          <w:lang w:eastAsia="zh-CN"/>
        </w:rPr>
        <w:t>（四）平台建设情况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eastAsia="仿宋_GB2312"/>
          <w:color w:val="auto"/>
          <w:sz w:val="32"/>
          <w:szCs w:val="32"/>
          <w:lang w:eastAsia="zh-CN" w:bidi="ar-SA"/>
        </w:rPr>
      </w:pP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依托“政府网站”等平台发布信息，推动政务公开信息向不同群体精准推送，提升群众获取政府信息的便利度和幸福感。</w:t>
      </w:r>
      <w:r>
        <w:rPr>
          <w:rFonts w:eastAsia="仿宋_GB2312"/>
          <w:color w:val="auto"/>
          <w:sz w:val="32"/>
          <w:szCs w:val="32"/>
          <w:lang w:eastAsia="zh-CN" w:bidi="ar-SA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hAnsi="黑体" w:eastAsia="黑体"/>
          <w:color w:val="auto"/>
          <w:sz w:val="32"/>
          <w:szCs w:val="32"/>
          <w:lang w:eastAsia="zh-CN" w:bidi="ar-SA"/>
        </w:rPr>
      </w:pPr>
      <w:r>
        <w:rPr>
          <w:rFonts w:hAnsi="黑体" w:eastAsia="黑体"/>
          <w:color w:val="auto"/>
          <w:sz w:val="32"/>
          <w:szCs w:val="32"/>
          <w:lang w:eastAsia="zh-CN" w:bidi="ar-SA"/>
        </w:rPr>
        <w:t>（五）监督保障方面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根据新的职责分工，适时调整政务公开领导小组组成人员。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黑体" w:eastAsia="黑体" w:cs="Times New Roman"/>
          <w:bCs/>
          <w:color w:val="auto"/>
          <w:sz w:val="32"/>
          <w:szCs w:val="32"/>
        </w:rPr>
        <w:t>二、主动公开政府信息情况</w:t>
      </w:r>
    </w:p>
    <w:tbl>
      <w:tblPr>
        <w:tblStyle w:val="4"/>
        <w:tblW w:w="87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15"/>
        <w:gridCol w:w="2146"/>
        <w:gridCol w:w="1610"/>
        <w:gridCol w:w="18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60"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本年新制作数量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本年新公开数量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规章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规范性文件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60"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本年增/减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行政许可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增1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其他对外管理服务事项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增14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60"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本年增/减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行政处罚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增7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行政强制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增2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60"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行政事业性收费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87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1414"/>
        <w:gridCol w:w="2709"/>
        <w:gridCol w:w="624"/>
        <w:gridCol w:w="562"/>
        <w:gridCol w:w="562"/>
        <w:gridCol w:w="566"/>
        <w:gridCol w:w="566"/>
        <w:gridCol w:w="566"/>
        <w:gridCol w:w="6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46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（本列数据的勾稽关系为：第一项加第二项之和， 等于第三项加第四项之和）</w:t>
            </w:r>
          </w:p>
        </w:tc>
        <w:tc>
          <w:tcPr>
            <w:tcW w:w="40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464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464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商业 企业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科研 机构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zh-TW" w:eastAsia="zh-CN" w:bidi="zh-TW"/>
              </w:rPr>
              <w:t>社会公益组织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法律 服务 机构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46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46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属于国家秘密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其他法律行政法规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禁止公开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危及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zh-CN" w:eastAsia="zh-CN" w:bidi="zh-CN"/>
              </w:rPr>
              <w:t>“三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安全一稳定”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保护第三方合法权益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属于三类内部事务信息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属于四类过程性信息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属于行政执法案卷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属于行政查询事项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本机关不掌握相关政府信息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没有现成信息需要另行制作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补正后申请内容仍不明确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信访举报投诉类申请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重复申请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要求提供公开出版物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无正当理由大量反复申请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40" w:hanging="34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en-US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  <w:lang w:eastAsia="zh-CN"/>
              </w:rPr>
            </w:pPr>
          </w:p>
        </w:tc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color w:val="auto"/>
              </w:rPr>
            </w:pPr>
          </w:p>
        </w:tc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4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0" w:h="16840"/>
          <w:pgMar w:top="2416" w:right="1302" w:bottom="1283" w:left="1771" w:header="0" w:footer="3" w:gutter="0"/>
          <w:pgNumType w:start="8"/>
          <w:cols w:space="720" w:num="1"/>
          <w:docGrid w:linePitch="360" w:charSpace="0"/>
        </w:sect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bookmarkStart w:id="0" w:name="bookmark39"/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四</w:t>
      </w:r>
      <w:bookmarkEnd w:id="0"/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、政府信息公开行政复议、行政诉讼情况</w:t>
      </w:r>
    </w:p>
    <w:tbl>
      <w:tblPr>
        <w:tblStyle w:val="4"/>
        <w:tblW w:w="87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9"/>
        <w:gridCol w:w="629"/>
        <w:gridCol w:w="624"/>
        <w:gridCol w:w="624"/>
        <w:gridCol w:w="562"/>
        <w:gridCol w:w="562"/>
        <w:gridCol w:w="571"/>
        <w:gridCol w:w="562"/>
        <w:gridCol w:w="566"/>
        <w:gridCol w:w="566"/>
        <w:gridCol w:w="562"/>
        <w:gridCol w:w="571"/>
        <w:gridCol w:w="562"/>
        <w:gridCol w:w="566"/>
        <w:gridCol w:w="58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06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6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维持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纠正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其他 结果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尚未 审结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总计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  <w:tc>
          <w:tcPr>
            <w:tcW w:w="6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维持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纠正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其他 结果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尚未 审结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总计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维持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结果 纠正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其他 结果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尚未 审结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lang w:eastAsia="zh-CN" w:bidi="ar-SA"/>
        </w:rPr>
      </w:pPr>
      <w:r>
        <w:rPr>
          <w:rFonts w:eastAsia="黑体"/>
          <w:color w:val="auto"/>
          <w:sz w:val="32"/>
          <w:szCs w:val="32"/>
          <w:lang w:eastAsia="zh-CN" w:bidi="ar-SA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2021年区工信</w:t>
      </w:r>
      <w:r>
        <w:rPr>
          <w:rFonts w:hint="eastAsia" w:eastAsia="仿宋_GB2312"/>
          <w:color w:val="auto"/>
          <w:sz w:val="32"/>
          <w:szCs w:val="32"/>
          <w:lang w:eastAsia="zh-CN"/>
        </w:rPr>
        <w:t>局按照区委、区政府的部署，有序开展各项信息公开工作，取得一定成效，但是仍存在信息公开工作规范性不够等问题，有待进一步加强。下一步将结合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区工信</w:t>
      </w:r>
      <w:r>
        <w:rPr>
          <w:rFonts w:hint="eastAsia" w:eastAsia="仿宋_GB2312"/>
          <w:color w:val="auto"/>
          <w:sz w:val="32"/>
          <w:szCs w:val="32"/>
          <w:lang w:eastAsia="zh-CN"/>
        </w:rPr>
        <w:t>局实际，重新规范公文处理流程，在办理文件时由拟文人、签发文件领导对是否公开、公开范围和公开方式，是否保密、密级和期限，同时作出决定，实行同步自审。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eastAsia="黑体"/>
          <w:color w:val="auto"/>
          <w:sz w:val="32"/>
          <w:szCs w:val="32"/>
          <w:lang w:eastAsia="zh-CN" w:bidi="zh-TW"/>
        </w:rPr>
      </w:pPr>
      <w:r>
        <w:rPr>
          <w:rFonts w:eastAsia="黑体"/>
          <w:color w:val="auto"/>
          <w:sz w:val="32"/>
          <w:szCs w:val="32"/>
          <w:lang w:eastAsia="zh-CN" w:bidi="zh-TW"/>
        </w:rPr>
        <w:t>六、其他需要报告的事项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outlineLvl w:val="3"/>
        <w:rPr>
          <w:rFonts w:ascii="Times New Roman" w:hAnsi="Times New Roman" w:eastAsia="黑体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（一）人大代表建议和政协委员提案办理情况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2021年，市中区工业和信息化局</w:t>
      </w:r>
      <w:bookmarkStart w:id="1" w:name="_GoBack"/>
      <w:bookmarkEnd w:id="1"/>
      <w:r>
        <w:rPr>
          <w:rFonts w:eastAsia="仿宋_GB2312"/>
          <w:color w:val="auto"/>
          <w:sz w:val="32"/>
          <w:szCs w:val="32"/>
          <w:lang w:eastAsia="zh-CN"/>
        </w:rPr>
        <w:t>共承办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区级人大代表建议6件，</w:t>
      </w:r>
      <w:r>
        <w:rPr>
          <w:rFonts w:eastAsia="仿宋_GB2312"/>
          <w:color w:val="auto"/>
          <w:sz w:val="32"/>
          <w:szCs w:val="32"/>
          <w:lang w:eastAsia="zh-CN"/>
        </w:rPr>
        <w:t>办复率100%。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）收取信息处理费的情况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eastAsia="zh-CN"/>
        </w:rPr>
        <w:t>本年度依申请公开政府信息未收取任何费用。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hint="default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其他需要报告事项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本报告所列数据的统计时限自202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年1月1日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起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至202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年12月31日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止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。如对本报告有疑问，可与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市中区工业和信息化局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联系（地址: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枣庄市市中区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龙头西路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，邮编：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277100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，电话：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0632-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3252082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电子邮箱：gxj3252082@zz.shandong.cn </w:t>
      </w:r>
      <w:r>
        <w:rPr>
          <w:rFonts w:eastAsia="仿宋_GB2312"/>
          <w:color w:val="auto"/>
          <w:sz w:val="32"/>
          <w:szCs w:val="32"/>
          <w:shd w:val="clear" w:color="auto" w:fill="FFFFFF"/>
          <w:lang w:eastAsia="zh-CN"/>
        </w:rPr>
        <w:t>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jc w:val="right"/>
        <w:textAlignment w:val="auto"/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jc w:val="right"/>
        <w:textAlignment w:val="auto"/>
        <w:rPr>
          <w:rFonts w:hint="default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市中区工业和信息化局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jc w:val="right"/>
        <w:textAlignment w:val="auto"/>
        <w:rPr>
          <w:rFonts w:hint="default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2022年1月15日</w:t>
      </w:r>
    </w:p>
    <w:p>
      <w:pPr>
        <w:rPr>
          <w:rFonts w:hint="eastAsia" w:eastAsiaTheme="minor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KaBI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1313180</wp:posOffset>
              </wp:positionH>
              <wp:positionV relativeFrom="page">
                <wp:posOffset>9942195</wp:posOffset>
              </wp:positionV>
              <wp:extent cx="78613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103.4pt;margin-top:782.85pt;height:9.35pt;width:61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1QpuN2AAAAA0BAAAPAAAAAAAA&#10;AAEAIAAAACIAAABkcnMvZG93bnJldi54bWxQSwECFAAUAAAACACHTuJAcy/QQqABAABJ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F447E"/>
    <w:multiLevelType w:val="singleLevel"/>
    <w:tmpl w:val="D07F44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9"/>
    <w:rsid w:val="00081823"/>
    <w:rsid w:val="00112B69"/>
    <w:rsid w:val="005A70FF"/>
    <w:rsid w:val="00B03096"/>
    <w:rsid w:val="00F0539A"/>
    <w:rsid w:val="021D046B"/>
    <w:rsid w:val="025E0CC2"/>
    <w:rsid w:val="0A3E1141"/>
    <w:rsid w:val="0B8F2AB2"/>
    <w:rsid w:val="101A475B"/>
    <w:rsid w:val="1AAF71B2"/>
    <w:rsid w:val="1D276D79"/>
    <w:rsid w:val="2007106B"/>
    <w:rsid w:val="24B65C7B"/>
    <w:rsid w:val="271F6DB2"/>
    <w:rsid w:val="28BE4FD8"/>
    <w:rsid w:val="2A366FA5"/>
    <w:rsid w:val="2B247393"/>
    <w:rsid w:val="2B7E7F7A"/>
    <w:rsid w:val="34C27E73"/>
    <w:rsid w:val="372B44B7"/>
    <w:rsid w:val="37DD4F2A"/>
    <w:rsid w:val="3CA63654"/>
    <w:rsid w:val="424E6C95"/>
    <w:rsid w:val="4A263FB9"/>
    <w:rsid w:val="5A891C07"/>
    <w:rsid w:val="5AE6494C"/>
    <w:rsid w:val="5EA95810"/>
    <w:rsid w:val="5EBA7B70"/>
    <w:rsid w:val="62A02DE5"/>
    <w:rsid w:val="62DF0CAC"/>
    <w:rsid w:val="64490C92"/>
    <w:rsid w:val="66BC4179"/>
    <w:rsid w:val="72BB477E"/>
    <w:rsid w:val="743334DA"/>
    <w:rsid w:val="754C48A1"/>
    <w:rsid w:val="7D726BF8"/>
    <w:rsid w:val="7F2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Header or footer|1"/>
    <w:basedOn w:val="1"/>
    <w:qFormat/>
    <w:uiPriority w:val="0"/>
    <w:rPr>
      <w:sz w:val="26"/>
      <w:szCs w:val="26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spacing w:before="90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593" w:lineRule="exact"/>
      <w:ind w:firstLine="61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4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1131</Words>
  <Characters>6452</Characters>
  <Lines>53</Lines>
  <Paragraphs>15</Paragraphs>
  <TotalTime>0</TotalTime>
  <ScaleCrop>false</ScaleCrop>
  <LinksUpToDate>false</LinksUpToDate>
  <CharactersWithSpaces>7568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2021-11-02T01:59:00Z</dcterms:created>
  <dc:creator>p</dc:creator>
  <cp:lastModifiedBy>lenovo</cp:lastModifiedBy>
  <cp:lastPrinted>2021-11-02T02:00:00Z</cp:lastPrinted>
  <dcterms:modified xsi:type="dcterms:W3CDTF">2022-01-19T02:21:44Z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C62F23B2580E434BB066B0A8118ED3FB</vt:lpwstr>
  </property>
</Properties>
</file>