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市中区科学技术局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pacing w:val="-20"/>
          <w:sz w:val="32"/>
          <w:szCs w:val="32"/>
          <w:shd w:val="clear" w:color="auto" w:fill="FFFFFF"/>
          <w:lang w:eastAsia="zh-CN"/>
        </w:rPr>
        <w:t>人民政府门户网</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w:t>
      </w:r>
      <w:r>
        <w:rPr>
          <w:rFonts w:ascii="Times New Roman" w:hAnsi="Times New Roman" w:eastAsia="仿宋_GB2312" w:cs="Times New Roman"/>
          <w:color w:val="auto"/>
          <w:sz w:val="32"/>
          <w:szCs w:val="32"/>
          <w:shd w:val="clear" w:color="auto" w:fill="FFFFFF"/>
          <w:lang w:eastAsia="zh-CN"/>
        </w:rPr>
        <w:t>查阅或下载。</w:t>
      </w:r>
      <w:r>
        <w:rPr>
          <w:rFonts w:eastAsia="仿宋_GB2312"/>
          <w:color w:val="auto"/>
          <w:sz w:val="32"/>
          <w:szCs w:val="32"/>
          <w:shd w:val="clear" w:color="auto" w:fill="FFFFFF"/>
          <w:lang w:eastAsia="zh-CN"/>
        </w:rPr>
        <w:t>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市中区科学技术局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枣庄市市中区君山中路321号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0632-3083197</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Style w:val="8"/>
          <w:rFonts w:hint="eastAsia" w:cstheme="minorBidi"/>
          <w:b w:val="0"/>
          <w:bCs w:val="0"/>
          <w:color w:val="auto"/>
          <w:kern w:val="2"/>
          <w:sz w:val="32"/>
          <w:szCs w:val="32"/>
          <w:lang w:val="en-US" w:eastAsia="zh-CN" w:bidi="ar-SA"/>
        </w:rPr>
        <w:t>szqkxjsjadmin@zz.shandong.cn</w:t>
      </w:r>
      <w:r>
        <w:rPr>
          <w:rFonts w:eastAsia="仿宋_GB2312"/>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2021年，区科学技术局认真贯彻落实党中央、国务院和省、市、区关于政府信息公开工作的部署要求，调整政务公开领导小组，加强对</w:t>
      </w:r>
      <w:r>
        <w:rPr>
          <w:rFonts w:hint="default" w:ascii="Times New Roman" w:hAnsi="Times New Roman" w:eastAsia="仿宋_GB2312" w:cs="Times New Roman"/>
          <w:color w:val="auto"/>
          <w:sz w:val="32"/>
          <w:szCs w:val="32"/>
          <w:shd w:val="clear" w:color="auto" w:fill="FFFFFF"/>
          <w:lang w:val="en-US" w:eastAsia="zh-CN"/>
        </w:rPr>
        <w:t>政务公开工作的组织领导</w:t>
      </w:r>
      <w:r>
        <w:rPr>
          <w:rFonts w:hint="eastAsia" w:ascii="Times New Roman" w:hAnsi="Times New Roman" w:eastAsia="仿宋_GB2312" w:cs="Times New Roman"/>
          <w:color w:val="auto"/>
          <w:sz w:val="32"/>
          <w:szCs w:val="32"/>
          <w:shd w:val="clear" w:color="auto" w:fill="FFFFFF"/>
          <w:lang w:val="en-US" w:eastAsia="zh-CN"/>
        </w:rPr>
        <w:t>。进一步调整优化公开目录，深入拓展公开渠道，持续丰富公开形式，对照《区政府工作报告》，按季度上报公开目标任务完成情况，接受广大企业和群众监督，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bCs/>
          <w:color w:val="C00000"/>
          <w:sz w:val="32"/>
          <w:szCs w:val="32"/>
          <w:lang w:val="en-US" w:eastAsia="zh-CN"/>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仿宋_GB2312" w:eastAsia="仿宋_GB2312" w:cs="仿宋_GB2312"/>
          <w:bCs/>
          <w:color w:val="auto"/>
          <w:sz w:val="32"/>
          <w:szCs w:val="32"/>
          <w:lang w:val="en-US" w:eastAsia="zh-CN"/>
        </w:rPr>
        <w:t>参考：主动公开信息44条，其中在政府门户网站公开44条，政务新媒体公开0条，其他渠道公开0条。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一是完善信息公开管理流程。建立政府信息公开工作全流程管理机制，</w:t>
      </w:r>
      <w:r>
        <w:rPr>
          <w:rFonts w:hint="eastAsia" w:eastAsia="仿宋_GB2312"/>
          <w:color w:val="auto"/>
          <w:sz w:val="32"/>
          <w:szCs w:val="32"/>
          <w:shd w:val="clear" w:color="auto" w:fill="FFFFFF"/>
          <w:lang w:val="en-US" w:eastAsia="zh-CN"/>
        </w:rPr>
        <w:t>对在</w:t>
      </w:r>
      <w:r>
        <w:rPr>
          <w:rFonts w:hint="eastAsia" w:ascii="Times New Roman" w:hAnsi="Times New Roman" w:eastAsia="仿宋_GB2312" w:cs="Times New Roman"/>
          <w:color w:val="auto"/>
          <w:sz w:val="32"/>
          <w:szCs w:val="32"/>
          <w:shd w:val="clear" w:color="auto" w:fill="FFFFFF"/>
          <w:lang w:val="en-US" w:eastAsia="zh-CN"/>
        </w:rPr>
        <w:t>区</w:t>
      </w:r>
      <w:r>
        <w:rPr>
          <w:rFonts w:hint="eastAsia" w:ascii="Times New Roman" w:hAnsi="Times New Roman" w:eastAsia="仿宋_GB2312" w:cs="Times New Roman"/>
          <w:color w:val="auto"/>
          <w:sz w:val="32"/>
          <w:szCs w:val="32"/>
          <w:shd w:val="clear" w:color="auto" w:fill="FFFFFF"/>
          <w:lang w:eastAsia="zh-CN"/>
        </w:rPr>
        <w:t>人民政府门户网</w:t>
      </w:r>
      <w:r>
        <w:rPr>
          <w:rFonts w:hint="eastAsia" w:ascii="Times New Roman" w:hAnsi="Times New Roman" w:eastAsia="仿宋_GB2312" w:cs="Times New Roman"/>
          <w:color w:val="auto"/>
          <w:sz w:val="32"/>
          <w:szCs w:val="32"/>
          <w:shd w:val="clear" w:color="auto" w:fill="FFFFFF"/>
          <w:lang w:val="en-US" w:eastAsia="zh-CN"/>
        </w:rPr>
        <w:t>公开的内容，由分管领导、主要领导严格审查把关，</w:t>
      </w:r>
      <w:r>
        <w:rPr>
          <w:rFonts w:hint="eastAsia" w:eastAsia="仿宋_GB2312"/>
          <w:color w:val="auto"/>
          <w:sz w:val="32"/>
          <w:szCs w:val="32"/>
          <w:shd w:val="clear" w:color="auto" w:fill="FFFFFF"/>
          <w:lang w:eastAsia="zh-CN"/>
        </w:rPr>
        <w:t>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bidi="ar-SA"/>
        </w:rPr>
      </w:pPr>
      <w:r>
        <w:rPr>
          <w:rFonts w:hint="eastAsia" w:eastAsia="仿宋_GB2312"/>
          <w:color w:val="auto"/>
          <w:sz w:val="32"/>
          <w:szCs w:val="32"/>
          <w:shd w:val="clear" w:color="auto" w:fill="FFFFFF"/>
          <w:lang w:eastAsia="zh-CN"/>
        </w:rPr>
        <w:t>三是不断完善公开制度机制。202</w:t>
      </w:r>
      <w:r>
        <w:rPr>
          <w:rFonts w:hint="eastAsia" w:eastAsia="仿宋_GB2312"/>
          <w:color w:val="auto"/>
          <w:sz w:val="32"/>
          <w:szCs w:val="32"/>
          <w:shd w:val="clear" w:color="auto" w:fill="FFFFFF"/>
          <w:lang w:val="en-US" w:eastAsia="zh-CN"/>
        </w:rPr>
        <w:t>1</w:t>
      </w:r>
      <w:r>
        <w:rPr>
          <w:rFonts w:hint="eastAsia"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Times New Roman" w:hAnsi="Times New Roman" w:eastAsia="仿宋_GB2312" w:cs="Times New Roman"/>
          <w:color w:val="auto"/>
          <w:sz w:val="32"/>
          <w:szCs w:val="32"/>
          <w:lang w:eastAsia="zh-CN" w:bidi="ar-SA"/>
        </w:rPr>
      </w:pPr>
      <w:r>
        <w:rPr>
          <w:rFonts w:hint="eastAsia" w:ascii="仿宋_GB2312" w:hAnsi="仿宋_GB2312" w:eastAsia="仿宋_GB2312" w:cs="仿宋_GB2312"/>
          <w:sz w:val="32"/>
          <w:szCs w:val="32"/>
          <w:lang w:val="en-US" w:eastAsia="zh-CN"/>
        </w:rPr>
        <w:t>根据工作需要和人员变动情况，调整了</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科学技术</w:t>
      </w:r>
      <w:r>
        <w:rPr>
          <w:rFonts w:hint="eastAsia" w:ascii="仿宋_GB2312" w:hAnsi="仿宋_GB2312" w:eastAsia="仿宋_GB2312" w:cs="仿宋_GB2312"/>
          <w:sz w:val="32"/>
          <w:szCs w:val="32"/>
        </w:rPr>
        <w:t>局政务公开工作领导小组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局办公室具体负责</w:t>
      </w:r>
      <w:r>
        <w:rPr>
          <w:rFonts w:hint="eastAsia" w:ascii="仿宋_GB2312" w:hAnsi="仿宋_GB2312" w:eastAsia="仿宋_GB2312" w:cs="仿宋_GB2312"/>
          <w:sz w:val="32"/>
          <w:szCs w:val="32"/>
        </w:rPr>
        <w:t>政务公开</w:t>
      </w:r>
      <w:r>
        <w:rPr>
          <w:rFonts w:hint="eastAsia" w:ascii="仿宋_GB2312" w:hAnsi="仿宋_GB2312" w:eastAsia="仿宋_GB2312" w:cs="仿宋_GB2312"/>
          <w:sz w:val="32"/>
          <w:szCs w:val="32"/>
          <w:lang w:val="en-US" w:eastAsia="zh-CN"/>
        </w:rPr>
        <w:t>日常工作。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Times New Roman" w:hAnsi="Times New Roman" w:eastAsia="仿宋_GB2312" w:cs="Times New Roman"/>
          <w:color w:val="auto"/>
          <w:sz w:val="32"/>
          <w:szCs w:val="32"/>
          <w:lang w:eastAsia="zh-CN" w:bidi="ar-SA"/>
        </w:rPr>
      </w:pPr>
    </w:p>
    <w:p>
      <w:pPr>
        <w:pStyle w:val="11"/>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5"/>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2"/>
                <w:szCs w:val="22"/>
                <w:lang w:val="en-US" w:eastAsia="zh-CN" w:bidi="en-US"/>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2"/>
                <w:szCs w:val="22"/>
                <w:lang w:val="en-US" w:eastAsia="zh-CN" w:bidi="en-US"/>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0"/>
                <w:sz w:val="22"/>
                <w:szCs w:val="22"/>
                <w:lang w:val="en-US" w:eastAsia="zh-CN" w:bidi="en-US"/>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增2</w:t>
            </w:r>
            <w:bookmarkStart w:id="1" w:name="_GoBack"/>
            <w:bookmarkEnd w:id="1"/>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增2</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11"/>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5"/>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10"/>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2"/>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zh-CN" w:bidi="en-US"/>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0"/>
                <w:sz w:val="24"/>
                <w:szCs w:val="24"/>
                <w:lang w:val="en-US" w:eastAsia="zh-CN" w:bidi="en-US"/>
              </w:rPr>
            </w:pPr>
            <w:r>
              <w:rPr>
                <w:rFonts w:hint="eastAsia" w:eastAsia="宋体"/>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4"/>
                <w:szCs w:val="24"/>
                <w:lang w:val="en-US" w:eastAsia="en-US" w:bidi="en-US"/>
              </w:rPr>
            </w:pPr>
            <w:r>
              <w:rPr>
                <w:rFonts w:hint="eastAsia" w:eastAsia="宋体"/>
                <w:color w:val="auto"/>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10"/>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10"/>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10"/>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存在问题：</w:t>
      </w:r>
      <w:r>
        <w:rPr>
          <w:rFonts w:hint="eastAsia" w:ascii="仿宋_GB2312" w:hAnsi="仿宋_GB2312" w:eastAsia="仿宋_GB2312" w:cs="仿宋_GB2312"/>
          <w:sz w:val="32"/>
          <w:szCs w:val="32"/>
          <w:lang w:val="en-US" w:eastAsia="en-US"/>
        </w:rPr>
        <w:t>政府信息公开</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lang w:val="en-US" w:eastAsia="en-US"/>
        </w:rPr>
        <w:t>综合</w:t>
      </w:r>
      <w:r>
        <w:rPr>
          <w:rFonts w:hint="default" w:ascii="仿宋_GB2312" w:hAnsi="仿宋_GB2312" w:eastAsia="仿宋_GB2312" w:cs="仿宋_GB2312"/>
          <w:sz w:val="32"/>
          <w:szCs w:val="32"/>
          <w:lang w:val="en-US" w:eastAsia="en-US"/>
        </w:rPr>
        <w:t>素质和业务能力</w:t>
      </w:r>
      <w:r>
        <w:rPr>
          <w:rFonts w:hint="eastAsia" w:ascii="仿宋_GB2312" w:hAnsi="仿宋_GB2312" w:eastAsia="仿宋_GB2312" w:cs="仿宋_GB2312"/>
          <w:sz w:val="32"/>
          <w:szCs w:val="32"/>
          <w:lang w:val="en-US" w:eastAsia="zh-CN"/>
        </w:rPr>
        <w:t>还需进一步提升。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改进措施：积极派出人员参加上级举办的</w:t>
      </w:r>
      <w:r>
        <w:rPr>
          <w:rFonts w:hint="eastAsia" w:ascii="仿宋_GB2312" w:hAnsi="仿宋_GB2312" w:eastAsia="仿宋_GB2312" w:cs="仿宋_GB2312"/>
          <w:sz w:val="32"/>
          <w:szCs w:val="32"/>
          <w:lang w:val="en-US" w:eastAsia="en-US"/>
        </w:rPr>
        <w:t>政府信息公开</w:t>
      </w:r>
      <w:r>
        <w:rPr>
          <w:rFonts w:hint="eastAsia" w:ascii="仿宋_GB2312" w:hAnsi="仿宋_GB2312" w:eastAsia="仿宋_GB2312" w:cs="仿宋_GB2312"/>
          <w:sz w:val="32"/>
          <w:szCs w:val="32"/>
          <w:lang w:val="en-US" w:eastAsia="zh-CN"/>
        </w:rPr>
        <w:t>业务培训，进一步提高从事政府信息公开工作人员的能力和水平。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2021年，市中区科学技术局</w:t>
      </w:r>
      <w:r>
        <w:rPr>
          <w:rFonts w:eastAsia="仿宋_GB2312"/>
          <w:color w:val="auto"/>
          <w:sz w:val="32"/>
          <w:szCs w:val="32"/>
          <w:lang w:eastAsia="zh-CN"/>
        </w:rPr>
        <w:t>共承办</w:t>
      </w:r>
      <w:r>
        <w:rPr>
          <w:rFonts w:hint="eastAsia" w:eastAsia="仿宋_GB2312"/>
          <w:color w:val="auto"/>
          <w:sz w:val="32"/>
          <w:szCs w:val="32"/>
          <w:lang w:val="en-US" w:eastAsia="zh-CN"/>
        </w:rPr>
        <w:t>区政协委员提案2件，</w:t>
      </w:r>
      <w:r>
        <w:rPr>
          <w:rFonts w:eastAsia="仿宋_GB2312"/>
          <w:color w:val="auto"/>
          <w:sz w:val="32"/>
          <w:szCs w:val="32"/>
          <w:lang w:eastAsia="zh-CN"/>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市中区科学技术局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w:t>
      </w:r>
      <w:r>
        <w:rPr>
          <w:rFonts w:hint="eastAsia" w:eastAsia="仿宋_GB2312"/>
          <w:color w:val="auto"/>
          <w:sz w:val="32"/>
          <w:szCs w:val="32"/>
          <w:lang w:val="en-US" w:eastAsia="zh-CN"/>
        </w:rPr>
        <w:t>君山中路321</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w:t>
      </w:r>
      <w:r>
        <w:rPr>
          <w:rFonts w:eastAsia="仿宋_GB2312"/>
          <w:color w:val="auto"/>
          <w:spacing w:val="-20"/>
          <w:sz w:val="32"/>
          <w:szCs w:val="32"/>
          <w:shd w:val="clear" w:color="auto" w:fill="FFFFFF"/>
          <w:lang w:eastAsia="zh-CN"/>
        </w:rPr>
        <w:t>电话：</w:t>
      </w:r>
      <w:r>
        <w:rPr>
          <w:rFonts w:hint="eastAsia" w:eastAsia="仿宋_GB2312"/>
          <w:color w:val="auto"/>
          <w:spacing w:val="-20"/>
          <w:sz w:val="32"/>
          <w:szCs w:val="32"/>
          <w:shd w:val="clear" w:color="auto" w:fill="FFFFFF"/>
          <w:lang w:val="en-US" w:eastAsia="zh-CN"/>
        </w:rPr>
        <w:t>0632-</w:t>
      </w:r>
      <w:r>
        <w:rPr>
          <w:rFonts w:hint="eastAsia" w:eastAsia="仿宋_GB2312"/>
          <w:color w:val="auto"/>
          <w:spacing w:val="-20"/>
          <w:sz w:val="32"/>
          <w:szCs w:val="32"/>
          <w:lang w:val="en-US" w:eastAsia="zh-CN"/>
        </w:rPr>
        <w:t>3083197</w:t>
      </w:r>
      <w:r>
        <w:rPr>
          <w:rFonts w:eastAsia="仿宋_GB2312"/>
          <w:color w:val="auto"/>
          <w:spacing w:val="-20"/>
          <w:sz w:val="32"/>
          <w:szCs w:val="32"/>
          <w:shd w:val="clear" w:color="auto" w:fill="FFFFFF"/>
          <w:lang w:eastAsia="zh-CN"/>
        </w:rPr>
        <w:t>，</w:t>
      </w:r>
      <w:r>
        <w:rPr>
          <w:rFonts w:hint="default" w:ascii="Times New Roman" w:hAnsi="Times New Roman" w:eastAsia="仿宋_GB2312" w:cs="Times New Roman"/>
          <w:i w:val="0"/>
          <w:caps w:val="0"/>
          <w:color w:val="auto"/>
          <w:spacing w:val="-20"/>
          <w:kern w:val="0"/>
          <w:sz w:val="32"/>
          <w:szCs w:val="32"/>
          <w:shd w:val="clear" w:color="auto" w:fill="FFFFFF"/>
          <w:lang w:val="en-US" w:eastAsia="zh-CN" w:bidi="ar"/>
        </w:rPr>
        <w:t>电子邮</w:t>
      </w:r>
      <w:r>
        <w:rPr>
          <w:rFonts w:hint="eastAsia" w:eastAsia="仿宋_GB2312" w:cs="Times New Roman"/>
          <w:i w:val="0"/>
          <w:caps w:val="0"/>
          <w:color w:val="auto"/>
          <w:spacing w:val="-20"/>
          <w:kern w:val="0"/>
          <w:sz w:val="32"/>
          <w:szCs w:val="32"/>
          <w:shd w:val="clear" w:color="auto" w:fill="FFFFFF"/>
          <w:lang w:val="en-US" w:eastAsia="zh-CN" w:bidi="ar"/>
        </w:rPr>
        <w:t>箱：</w:t>
      </w:r>
      <w:r>
        <w:rPr>
          <w:rFonts w:hint="eastAsia" w:eastAsia="仿宋_GB2312" w:cs="Times New Roman"/>
          <w:i w:val="0"/>
          <w:caps w:val="0"/>
          <w:color w:val="auto"/>
          <w:spacing w:val="0"/>
          <w:kern w:val="0"/>
          <w:sz w:val="32"/>
          <w:szCs w:val="32"/>
          <w:shd w:val="clear" w:color="auto" w:fill="FFFFFF"/>
          <w:lang w:val="en-US" w:eastAsia="zh-CN" w:bidi="ar"/>
        </w:rPr>
        <w:t>（</w:t>
      </w:r>
      <w:r>
        <w:rPr>
          <w:rStyle w:val="8"/>
          <w:rFonts w:hint="eastAsia" w:cstheme="minorBidi"/>
          <w:b w:val="0"/>
          <w:bCs w:val="0"/>
          <w:color w:val="auto"/>
          <w:kern w:val="2"/>
          <w:sz w:val="32"/>
          <w:szCs w:val="32"/>
          <w:lang w:val="en-US" w:eastAsia="zh-CN" w:bidi="ar-SA"/>
        </w:rPr>
        <w:t>szqkxjsjadmin@zz.shandong.cn</w:t>
      </w:r>
      <w:r>
        <w:rPr>
          <w:rFonts w:eastAsia="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市中区科学技术局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2022年1月14日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9"/>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9"/>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A557412"/>
    <w:rsid w:val="0B8F2AB2"/>
    <w:rsid w:val="101A475B"/>
    <w:rsid w:val="12115274"/>
    <w:rsid w:val="138419BE"/>
    <w:rsid w:val="140E13E0"/>
    <w:rsid w:val="17CA18DE"/>
    <w:rsid w:val="1AAF71B2"/>
    <w:rsid w:val="1D276D79"/>
    <w:rsid w:val="1EEB1EAF"/>
    <w:rsid w:val="2007106B"/>
    <w:rsid w:val="24B65C7B"/>
    <w:rsid w:val="271F6DB2"/>
    <w:rsid w:val="28BE4FD8"/>
    <w:rsid w:val="2A366FA5"/>
    <w:rsid w:val="2B247393"/>
    <w:rsid w:val="2B7E7F7A"/>
    <w:rsid w:val="2C23435A"/>
    <w:rsid w:val="34C27E73"/>
    <w:rsid w:val="372B44B7"/>
    <w:rsid w:val="37DD4F2A"/>
    <w:rsid w:val="3CA63654"/>
    <w:rsid w:val="424E6C95"/>
    <w:rsid w:val="478E6FCE"/>
    <w:rsid w:val="4A263FB9"/>
    <w:rsid w:val="4A7A262F"/>
    <w:rsid w:val="4DEA545A"/>
    <w:rsid w:val="541C0409"/>
    <w:rsid w:val="5A891C07"/>
    <w:rsid w:val="5AE6494C"/>
    <w:rsid w:val="5C945529"/>
    <w:rsid w:val="5EA95810"/>
    <w:rsid w:val="62A02DE5"/>
    <w:rsid w:val="62DF0CAC"/>
    <w:rsid w:val="64490C92"/>
    <w:rsid w:val="70F34519"/>
    <w:rsid w:val="72BB477E"/>
    <w:rsid w:val="743334DA"/>
    <w:rsid w:val="754C48A1"/>
    <w:rsid w:val="798E65D4"/>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semiHidden/>
    <w:qFormat/>
    <w:uiPriority w:val="99"/>
    <w:pPr>
      <w:adjustRightInd w:val="0"/>
      <w:snapToGrid w:val="0"/>
      <w:spacing w:line="580" w:lineRule="exact"/>
    </w:pPr>
    <w:rPr>
      <w:rFonts w:ascii="黑体" w:hAnsi="黑体" w:eastAsia="黑体" w:cs="黑体"/>
      <w:b/>
      <w:bCs/>
      <w:color w:val="000000"/>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Emphasis"/>
    <w:basedOn w:val="6"/>
    <w:qFormat/>
    <w:uiPriority w:val="20"/>
    <w:rPr>
      <w:i/>
    </w:rPr>
  </w:style>
  <w:style w:type="character" w:styleId="8">
    <w:name w:val="Hyperlink"/>
    <w:basedOn w:val="6"/>
    <w:semiHidden/>
    <w:unhideWhenUsed/>
    <w:qFormat/>
    <w:uiPriority w:val="99"/>
    <w:rPr>
      <w:color w:val="0000FF"/>
      <w:u w:val="single"/>
    </w:rPr>
  </w:style>
  <w:style w:type="paragraph" w:customStyle="1" w:styleId="9">
    <w:name w:val="Header or footer|1"/>
    <w:basedOn w:val="1"/>
    <w:qFormat/>
    <w:uiPriority w:val="0"/>
    <w:rPr>
      <w:sz w:val="26"/>
      <w:szCs w:val="26"/>
      <w:lang w:val="zh-TW" w:eastAsia="zh-TW" w:bidi="zh-TW"/>
    </w:rPr>
  </w:style>
  <w:style w:type="paragraph" w:customStyle="1" w:styleId="10">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1">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2">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5</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2022-01-14T01:51:56Z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3CCD52A71C2940C2BE587B335DB0B079</vt:lpwstr>
  </property>
</Properties>
</file>