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lang w:eastAsia="zh-CN"/>
        </w:rPr>
      </w:pPr>
      <w:r>
        <w:rPr>
          <w:rFonts w:hint="eastAsia" w:ascii="方正小标宋简体" w:hAnsi="方正小标宋简体" w:eastAsia="方正小标宋简体"/>
          <w:color w:val="auto"/>
          <w:sz w:val="44"/>
          <w:szCs w:val="44"/>
          <w:lang w:eastAsia="zh-CN"/>
        </w:rPr>
        <w:t>市中区卫生健康局</w:t>
      </w:r>
    </w:p>
    <w:p>
      <w:pPr>
        <w:jc w:val="center"/>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widowControl/>
        <w:spacing w:line="560" w:lineRule="exact"/>
        <w:ind w:firstLine="640" w:firstLineChars="200"/>
        <w:contextualSpacing/>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人民政府门户网站（http://www.zzszq.gov.cn/）查阅或下载。本报告所列数据的统计</w:t>
      </w:r>
      <w:r>
        <w:rPr>
          <w:rFonts w:hint="eastAsia" w:eastAsia="仿宋_GB2312"/>
          <w:color w:val="auto"/>
          <w:sz w:val="32"/>
          <w:szCs w:val="32"/>
          <w:shd w:val="clear" w:color="auto" w:fill="FFFFFF"/>
          <w:lang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市中区卫生健康局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w:t>
      </w:r>
      <w:r>
        <w:rPr>
          <w:rFonts w:hint="eastAsia" w:eastAsia="仿宋_GB2312"/>
          <w:b/>
          <w:sz w:val="32"/>
          <w:szCs w:val="32"/>
          <w:lang w:eastAsia="zh-CN"/>
        </w:rPr>
        <w:t>szqwshjhsyjadmin@zz.shandong.cn</w:t>
      </w:r>
      <w:r>
        <w:rPr>
          <w:rFonts w:eastAsia="仿宋_GB2312"/>
          <w:color w:val="auto"/>
          <w:sz w:val="32"/>
          <w:szCs w:val="32"/>
          <w:shd w:val="clear" w:color="auto" w:fill="FFFFFF"/>
          <w:lang w:eastAsia="zh-CN"/>
        </w:rPr>
        <w:t>） 。</w:t>
      </w:r>
    </w:p>
    <w:p>
      <w:pPr>
        <w:spacing w:line="560" w:lineRule="exact"/>
        <w:ind w:firstLine="640" w:firstLineChars="200"/>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widowControl/>
        <w:spacing w:line="560" w:lineRule="exact"/>
        <w:ind w:firstLine="640" w:firstLineChars="200"/>
        <w:contextualSpacing/>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2021年，市中区卫生健康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widowControl/>
        <w:spacing w:line="560" w:lineRule="exact"/>
        <w:ind w:firstLine="640" w:firstLineChars="200"/>
        <w:contextualSpacing/>
        <w:rPr>
          <w:rFonts w:eastAsia="黑体"/>
          <w:bCs/>
          <w:color w:val="auto"/>
          <w:sz w:val="32"/>
          <w:szCs w:val="32"/>
          <w:lang w:eastAsia="zh-CN"/>
        </w:rPr>
      </w:pPr>
      <w:r>
        <w:rPr>
          <w:rFonts w:hAnsi="黑体" w:eastAsia="黑体"/>
          <w:bCs/>
          <w:color w:val="auto"/>
          <w:sz w:val="32"/>
          <w:szCs w:val="32"/>
          <w:lang w:eastAsia="zh-CN"/>
        </w:rPr>
        <w:t>（一）主动公开情况</w:t>
      </w:r>
    </w:p>
    <w:p>
      <w:pPr>
        <w:pStyle w:val="4"/>
        <w:shd w:val="clear" w:color="auto" w:fill="FFFFFF"/>
        <w:spacing w:before="240" w:beforeAutospacing="0" w:after="0" w:afterAutospacing="0"/>
        <w:jc w:val="both"/>
        <w:rPr>
          <w:rFonts w:ascii="仿宋_GB2312" w:hAnsi="Times New Roman" w:eastAsia="仿宋_GB2312" w:cs="Times New Roman"/>
          <w:color w:val="auto"/>
          <w:sz w:val="32"/>
          <w:szCs w:val="32"/>
          <w:shd w:val="clear" w:color="auto" w:fill="FFFFFF"/>
          <w:lang w:eastAsia="zh-CN"/>
        </w:rPr>
      </w:pPr>
      <w:r>
        <w:rPr>
          <w:rFonts w:hint="eastAsia" w:ascii="仿宋_GB2312" w:hAnsi="仿宋_GB2312" w:eastAsia="仿宋_GB2312" w:cs="仿宋_GB2312"/>
          <w:bCs/>
          <w:color w:val="C00000"/>
          <w:sz w:val="32"/>
          <w:szCs w:val="32"/>
          <w:lang w:eastAsia="zh-CN"/>
        </w:rPr>
        <w:t xml:space="preserve"> </w:t>
      </w:r>
      <w:r>
        <w:rPr>
          <w:rFonts w:hint="eastAsia" w:ascii="仿宋_GB2312" w:hAnsi="Times New Roman" w:eastAsia="仿宋_GB2312" w:cs="Times New Roman"/>
          <w:color w:val="auto"/>
          <w:sz w:val="32"/>
          <w:szCs w:val="32"/>
          <w:shd w:val="clear" w:color="auto" w:fill="FFFFFF"/>
          <w:lang w:eastAsia="zh-CN"/>
        </w:rPr>
        <w:t xml:space="preserve">   主动公开信息245条，其中在政府门户网站公开165条，政务新媒体公开78条，其他渠道公开2(新闻发布会)条。</w:t>
      </w:r>
    </w:p>
    <w:p>
      <w:pPr>
        <w:widowControl/>
        <w:spacing w:line="560" w:lineRule="exact"/>
        <w:ind w:firstLine="640" w:firstLineChars="200"/>
        <w:contextualSpacing/>
        <w:rPr>
          <w:rFonts w:eastAsia="黑体"/>
          <w:bCs/>
          <w:color w:val="auto"/>
          <w:sz w:val="32"/>
          <w:szCs w:val="32"/>
          <w:lang w:eastAsia="zh-CN"/>
        </w:rPr>
      </w:pPr>
      <w:r>
        <w:rPr>
          <w:rFonts w:hAnsi="黑体" w:eastAsia="黑体"/>
          <w:bCs/>
          <w:color w:val="auto"/>
          <w:sz w:val="32"/>
          <w:szCs w:val="32"/>
          <w:lang w:eastAsia="zh-CN"/>
        </w:rPr>
        <w:t>（二）依申请公开办理情况</w:t>
      </w:r>
    </w:p>
    <w:p>
      <w:pPr>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件，其中予以公开申请</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件，部分公开</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件，不予公开</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件，无法提供</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件，不予处理</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件，均在法定期限内予以答复。</w:t>
      </w:r>
    </w:p>
    <w:p>
      <w:pPr>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因政府信息公开被申请行政复议</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ascii="仿宋_GB2312" w:eastAsia="仿宋_GB2312"/>
          <w:color w:val="auto"/>
          <w:sz w:val="32"/>
          <w:szCs w:val="32"/>
          <w:shd w:val="clear" w:color="auto" w:fill="FFFFFF"/>
          <w:lang w:eastAsia="zh-CN"/>
        </w:rPr>
        <w:t>0</w:t>
      </w:r>
      <w:r>
        <w:rPr>
          <w:rFonts w:hint="eastAsia" w:ascii="仿宋_GB2312" w:eastAsia="仿宋_GB2312"/>
          <w:color w:val="auto"/>
          <w:sz w:val="32"/>
          <w:szCs w:val="32"/>
          <w:shd w:val="clear" w:color="auto" w:fill="FFFFFF"/>
          <w:lang w:eastAsia="zh-CN"/>
        </w:rPr>
        <w:t>件。</w:t>
      </w:r>
    </w:p>
    <w:p>
      <w:pPr>
        <w:spacing w:line="560" w:lineRule="exact"/>
        <w:ind w:firstLine="640" w:firstLineChars="200"/>
        <w:rPr>
          <w:rFonts w:eastAsia="黑体"/>
          <w:bCs/>
          <w:color w:val="auto"/>
          <w:sz w:val="32"/>
          <w:szCs w:val="32"/>
          <w:lang w:eastAsia="zh-CN"/>
        </w:rPr>
      </w:pPr>
      <w:r>
        <w:rPr>
          <w:rFonts w:hAnsi="黑体" w:eastAsia="黑体"/>
          <w:bCs/>
          <w:color w:val="auto"/>
          <w:sz w:val="32"/>
          <w:szCs w:val="32"/>
          <w:lang w:eastAsia="zh-CN"/>
        </w:rPr>
        <w:t>（三）政府信息管理情况</w:t>
      </w:r>
    </w:p>
    <w:p>
      <w:pPr>
        <w:widowControl/>
        <w:shd w:val="clear" w:color="auto" w:fill="FFFFFF"/>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widowControl/>
        <w:shd w:val="clear" w:color="auto" w:fill="FFFFFF"/>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三是不断完善公开制度机制。2021年，全面落实“以公开为常态、不公开为例外”要求，主动、及时、规范、准确公开应当公开的政府信息，切实做到应公开尽公开，不断提升公开常态化、规范化、标准化水平。</w:t>
      </w:r>
    </w:p>
    <w:p>
      <w:pPr>
        <w:widowControl/>
        <w:shd w:val="clear" w:color="auto" w:fill="FFFFFF"/>
        <w:spacing w:line="560" w:lineRule="exact"/>
        <w:ind w:firstLine="640" w:firstLineChars="200"/>
        <w:rPr>
          <w:rFonts w:eastAsia="黑体"/>
          <w:bCs/>
          <w:color w:val="auto"/>
          <w:sz w:val="32"/>
          <w:szCs w:val="32"/>
          <w:lang w:eastAsia="zh-CN"/>
        </w:rPr>
      </w:pPr>
      <w:r>
        <w:rPr>
          <w:rFonts w:eastAsia="黑体"/>
          <w:bCs/>
          <w:color w:val="auto"/>
          <w:sz w:val="32"/>
          <w:szCs w:val="32"/>
          <w:lang w:eastAsia="zh-CN"/>
        </w:rPr>
        <w:t>（四）平台建设情况</w:t>
      </w:r>
    </w:p>
    <w:p>
      <w:pPr>
        <w:widowControl/>
        <w:shd w:val="clear" w:color="auto" w:fill="FFFFFF"/>
        <w:spacing w:line="560" w:lineRule="exact"/>
        <w:ind w:firstLine="645"/>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widowControl/>
        <w:shd w:val="clear" w:color="auto" w:fill="FFFFFF"/>
        <w:spacing w:line="560" w:lineRule="exact"/>
        <w:ind w:firstLine="645"/>
        <w:rPr>
          <w:rFonts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4"/>
        <w:shd w:val="clear" w:color="auto" w:fill="FFFFFF"/>
        <w:spacing w:before="0" w:beforeAutospacing="0" w:after="0" w:afterAutospacing="0" w:line="560" w:lineRule="exact"/>
        <w:ind w:firstLine="645"/>
        <w:rPr>
          <w:rFonts w:ascii="Times New Roman" w:hAnsi="Times New Roman" w:eastAsia="仿宋_GB2312" w:cs="Times New Roman"/>
          <w:color w:val="auto"/>
          <w:sz w:val="32"/>
          <w:szCs w:val="32"/>
          <w:lang w:eastAsia="zh-CN" w:bidi="ar-SA"/>
        </w:rPr>
      </w:pPr>
      <w:r>
        <w:rPr>
          <w:rFonts w:hint="eastAsia" w:ascii="仿宋_GB2312" w:eastAsia="仿宋_GB2312"/>
          <w:b/>
          <w:sz w:val="32"/>
          <w:szCs w:val="32"/>
          <w:lang w:eastAsia="zh-CN"/>
        </w:rPr>
        <w:t>为加强对政务公开工作的组织领导，促进各项工作的贯彻落实，市中区卫生健康局于2021年10月11日对政务公开工作领导小组进行了调整。</w:t>
      </w:r>
    </w:p>
    <w:p>
      <w:pPr>
        <w:pStyle w:val="10"/>
        <w:spacing w:line="560" w:lineRule="exact"/>
        <w:ind w:firstLine="580"/>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spacing w:line="440" w:lineRule="exact"/>
              <w:ind w:left="1060"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1</w:t>
            </w:r>
            <w:bookmarkStart w:id="1" w:name="_GoBack"/>
            <w:bookmarkEnd w:id="1"/>
          </w:p>
        </w:tc>
        <w:tc>
          <w:tcPr>
            <w:tcW w:w="1610"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121</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增7</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22"/>
                <w:szCs w:val="22"/>
                <w:lang w:val="en-US" w:eastAsia="zh-CN"/>
              </w:rPr>
            </w:pPr>
            <w:r>
              <w:rPr>
                <w:rFonts w:hint="eastAsia" w:eastAsia="仿宋_GB2312"/>
                <w:color w:val="auto"/>
                <w:sz w:val="22"/>
                <w:szCs w:val="22"/>
                <w:lang w:val="en-US" w:eastAsia="zh-CN"/>
              </w:rPr>
              <w:t>540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hint="eastAsia" w:eastAsia="仿宋_GB2312"/>
                <w:color w:val="auto"/>
                <w:sz w:val="22"/>
                <w:szCs w:val="22"/>
                <w:lang w:eastAsia="zh-CN"/>
              </w:rPr>
            </w:pPr>
            <w:r>
              <w:rPr>
                <w:rFonts w:hint="eastAsia" w:eastAsia="仿宋_GB2312"/>
                <w:color w:val="auto"/>
                <w:sz w:val="22"/>
                <w:szCs w:val="22"/>
                <w:lang w:eastAsia="zh-CN"/>
              </w:rPr>
              <w:t>3</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eastAsia="仿宋_GB2312"/>
                <w:color w:val="auto"/>
                <w:sz w:val="22"/>
                <w:szCs w:val="22"/>
                <w:lang w:val="en-US" w:eastAsia="zh-CN"/>
              </w:rPr>
            </w:pPr>
            <w:r>
              <w:rPr>
                <w:rFonts w:hint="eastAsia" w:eastAsia="仿宋_GB2312"/>
                <w:color w:val="auto"/>
                <w:sz w:val="22"/>
                <w:szCs w:val="22"/>
                <w:lang w:val="en-US" w:eastAsia="zh-CN"/>
              </w:rPr>
              <w:t>303</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22"/>
                <w:szCs w:val="22"/>
                <w:lang w:val="en-US" w:eastAsia="zh-CN"/>
              </w:rPr>
            </w:pPr>
            <w:r>
              <w:rPr>
                <w:rFonts w:hint="eastAsia" w:eastAsia="仿宋_GB2312"/>
                <w:color w:val="auto"/>
                <w:sz w:val="22"/>
                <w:szCs w:val="22"/>
                <w:lang w:val="en-US" w:eastAsia="zh-CN"/>
              </w:rPr>
              <w:t>10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bl>
    <w:p>
      <w:pPr>
        <w:spacing w:line="560" w:lineRule="exact"/>
        <w:rPr>
          <w:color w:val="auto"/>
          <w:sz w:val="2"/>
          <w:szCs w:val="2"/>
        </w:rPr>
      </w:pPr>
      <w:r>
        <w:rPr>
          <w:color w:val="auto"/>
        </w:rPr>
        <w:br w:type="page"/>
      </w:r>
    </w:p>
    <w:p>
      <w:pPr>
        <w:pStyle w:val="10"/>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eastAsia="仿宋_GB2312"/>
                <w:color w:val="auto"/>
              </w:rPr>
            </w:pPr>
          </w:p>
        </w:tc>
        <w:tc>
          <w:tcPr>
            <w:tcW w:w="624" w:type="dxa"/>
            <w:vMerge w:val="continue"/>
            <w:tcBorders>
              <w:left w:val="single" w:color="auto" w:sz="4" w:space="0"/>
            </w:tcBorders>
            <w:shd w:val="clear" w:color="auto" w:fill="FFFFFF"/>
            <w:vAlign w:val="center"/>
          </w:tcPr>
          <w:p>
            <w:pPr>
              <w:spacing w:line="440" w:lineRule="exact"/>
              <w:jc w:val="center"/>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spacing w:line="440" w:lineRule="exact"/>
              <w:jc w:val="center"/>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spacing w:before="0" w:line="440" w:lineRule="exact"/>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1"/>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1"/>
              <w:spacing w:line="440" w:lineRule="exact"/>
              <w:ind w:left="340" w:hanging="34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bl>
    <w:p>
      <w:pPr>
        <w:spacing w:line="560" w:lineRule="exact"/>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0"/>
        <w:spacing w:line="560" w:lineRule="exact"/>
        <w:ind w:firstLine="0"/>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spacing w:line="440" w:lineRule="exact"/>
              <w:rPr>
                <w:color w:val="auto"/>
              </w:rPr>
            </w:pPr>
          </w:p>
        </w:tc>
        <w:tc>
          <w:tcPr>
            <w:tcW w:w="629"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pPr>
              <w:spacing w:line="440" w:lineRule="exact"/>
              <w:rPr>
                <w:color w:val="auto"/>
              </w:rPr>
            </w:pP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bl>
    <w:p>
      <w:pPr>
        <w:widowControl/>
        <w:shd w:val="clear" w:color="auto" w:fill="FFFFFF"/>
        <w:spacing w:line="560" w:lineRule="exact"/>
        <w:ind w:firstLine="640" w:firstLineChars="200"/>
        <w:rPr>
          <w:rFonts w:eastAsia="黑体"/>
          <w:color w:val="auto"/>
          <w:sz w:val="32"/>
          <w:szCs w:val="32"/>
          <w:lang w:eastAsia="zh-CN" w:bidi="ar-SA"/>
        </w:rPr>
      </w:pPr>
      <w:r>
        <w:rPr>
          <w:rFonts w:eastAsia="黑体"/>
          <w:color w:val="auto"/>
          <w:sz w:val="32"/>
          <w:szCs w:val="32"/>
          <w:lang w:eastAsia="zh-CN" w:bidi="ar-SA"/>
        </w:rPr>
        <w:t>五、存在的主要问题及改进情况</w:t>
      </w:r>
    </w:p>
    <w:p>
      <w:pPr>
        <w:widowControl/>
        <w:rPr>
          <w:rFonts w:eastAsia="仿宋_GB2312"/>
          <w:sz w:val="32"/>
          <w:szCs w:val="32"/>
          <w:shd w:val="clear" w:color="auto" w:fill="FFFFFF"/>
          <w:lang w:eastAsia="zh-CN"/>
        </w:rPr>
      </w:pPr>
      <w:r>
        <w:rPr>
          <w:rFonts w:hint="eastAsia" w:eastAsia="仿宋_GB2312"/>
          <w:sz w:val="32"/>
          <w:szCs w:val="32"/>
          <w:shd w:val="clear" w:color="auto" w:fill="FFFFFF"/>
          <w:lang w:eastAsia="zh-CN"/>
        </w:rPr>
        <w:t xml:space="preserve">    </w:t>
      </w:r>
      <w:r>
        <w:rPr>
          <w:rFonts w:eastAsia="仿宋_GB2312"/>
          <w:sz w:val="32"/>
          <w:szCs w:val="32"/>
          <w:shd w:val="clear" w:color="auto" w:fill="FFFFFF"/>
          <w:lang w:eastAsia="zh-CN"/>
        </w:rPr>
        <w:t>在</w:t>
      </w:r>
      <w:r>
        <w:rPr>
          <w:color w:val="333333"/>
          <w:sz w:val="32"/>
          <w:szCs w:val="32"/>
          <w:lang w:eastAsia="zh-CN"/>
        </w:rPr>
        <w:t>202</w:t>
      </w:r>
      <w:r>
        <w:rPr>
          <w:rFonts w:hint="eastAsia" w:eastAsiaTheme="minorEastAsia"/>
          <w:color w:val="333333"/>
          <w:sz w:val="32"/>
          <w:szCs w:val="32"/>
          <w:lang w:eastAsia="zh-CN"/>
        </w:rPr>
        <w:t>1</w:t>
      </w:r>
      <w:r>
        <w:rPr>
          <w:rFonts w:eastAsia="仿宋_GB2312"/>
          <w:sz w:val="32"/>
          <w:szCs w:val="32"/>
          <w:shd w:val="clear" w:color="auto" w:fill="FFFFFF"/>
          <w:lang w:eastAsia="zh-CN"/>
        </w:rPr>
        <w:t>年，我局政务信息公开工作取得了一定的成效，但是实际工作中还存在一些比较突出的问题，表现在：</w:t>
      </w:r>
      <w:r>
        <w:rPr>
          <w:rFonts w:eastAsia="楷体_GB2312"/>
          <w:sz w:val="32"/>
          <w:szCs w:val="32"/>
          <w:shd w:val="clear" w:color="auto" w:fill="FFFFFF"/>
          <w:lang w:eastAsia="zh-CN"/>
        </w:rPr>
        <w:t>一是政务公开信息及时率有待加强</w:t>
      </w:r>
      <w:r>
        <w:rPr>
          <w:rFonts w:eastAsia="仿宋_GB2312"/>
          <w:sz w:val="32"/>
          <w:szCs w:val="32"/>
          <w:shd w:val="clear" w:color="auto" w:fill="FFFFFF"/>
          <w:lang w:eastAsia="zh-CN"/>
        </w:rPr>
        <w:t>。尤其是疫情防控方面的信息公开不能及时地满足群众需要；</w:t>
      </w:r>
      <w:r>
        <w:rPr>
          <w:rFonts w:eastAsia="楷体_GB2312"/>
          <w:sz w:val="32"/>
          <w:szCs w:val="32"/>
          <w:shd w:val="clear" w:color="auto" w:fill="FFFFFF"/>
          <w:lang w:eastAsia="zh-CN"/>
        </w:rPr>
        <w:t>二是宣传力度不够</w:t>
      </w:r>
      <w:r>
        <w:rPr>
          <w:rFonts w:eastAsia="仿宋_GB2312"/>
          <w:sz w:val="32"/>
          <w:szCs w:val="32"/>
          <w:shd w:val="clear" w:color="auto" w:fill="FFFFFF"/>
          <w:lang w:eastAsia="zh-CN"/>
        </w:rPr>
        <w:t>。对相关政务公开方式群众关注度较低，卫健系统内有些需要群众知晓的信息不能第一时间反馈到群众；</w:t>
      </w:r>
      <w:r>
        <w:rPr>
          <w:rFonts w:eastAsia="楷体_GB2312"/>
          <w:sz w:val="32"/>
          <w:szCs w:val="32"/>
          <w:shd w:val="clear" w:color="auto" w:fill="FFFFFF"/>
          <w:lang w:eastAsia="zh-CN"/>
        </w:rPr>
        <w:t>三是人才配备薄弱。</w:t>
      </w:r>
      <w:r>
        <w:rPr>
          <w:rFonts w:eastAsia="仿宋_GB2312"/>
          <w:sz w:val="32"/>
          <w:szCs w:val="32"/>
          <w:shd w:val="clear" w:color="auto" w:fill="FFFFFF"/>
          <w:lang w:eastAsia="zh-CN"/>
        </w:rPr>
        <w:t>近几年来，国家对政府信息公开工作高度重视，要求标准很高，工作任务越来越重。本单位从事政务公开具体工作的为兼职人员，工作人员精力有限，在信息的更新和维护上可能不够及时，不利于政务公开工作的深入开展，工作人员的专业业务能力也有待进一步规范加强。</w:t>
      </w:r>
    </w:p>
    <w:p>
      <w:pPr>
        <w:widowControl/>
        <w:rPr>
          <w:rFonts w:eastAsia="仿宋_GB2312"/>
          <w:sz w:val="32"/>
          <w:szCs w:val="32"/>
          <w:shd w:val="clear" w:color="auto" w:fill="FFFFFF"/>
          <w:lang w:eastAsia="zh-CN"/>
        </w:rPr>
      </w:pPr>
      <w:r>
        <w:rPr>
          <w:rFonts w:eastAsia="仿宋_GB2312"/>
          <w:sz w:val="32"/>
          <w:szCs w:val="32"/>
          <w:shd w:val="clear" w:color="auto" w:fill="FFFFFF"/>
          <w:lang w:eastAsia="zh-CN"/>
        </w:rPr>
        <w:t xml:space="preserve">    下一步我局将按照《条例》的规定和区政府办的要求，做好以下几项工作：</w:t>
      </w:r>
      <w:r>
        <w:rPr>
          <w:rFonts w:eastAsia="楷体_GB2312"/>
          <w:sz w:val="32"/>
          <w:szCs w:val="32"/>
          <w:shd w:val="clear" w:color="auto" w:fill="FFFFFF"/>
          <w:lang w:eastAsia="zh-CN"/>
        </w:rPr>
        <w:t>一是加大队伍建设力度。</w:t>
      </w:r>
      <w:r>
        <w:rPr>
          <w:rFonts w:eastAsia="仿宋_GB2312"/>
          <w:sz w:val="32"/>
          <w:szCs w:val="32"/>
          <w:shd w:val="clear" w:color="auto" w:fill="FFFFFF"/>
          <w:lang w:eastAsia="zh-CN"/>
        </w:rPr>
        <w:t>在目前人才队伍建设的基础上，加大政务信息公开人员配备力度，同时，在局机关及下属事业单位和医疗机构配备专兼职信息员，并加大培训力度，确实提高工作能力，加大政务公开的力度。</w:t>
      </w:r>
      <w:r>
        <w:rPr>
          <w:rFonts w:eastAsia="楷体_GB2312"/>
          <w:sz w:val="32"/>
          <w:szCs w:val="32"/>
          <w:shd w:val="clear" w:color="auto" w:fill="FFFFFF"/>
          <w:lang w:eastAsia="zh-CN"/>
        </w:rPr>
        <w:t>二是加大信息公开力度。</w:t>
      </w:r>
      <w:r>
        <w:rPr>
          <w:rFonts w:eastAsia="仿宋_GB2312"/>
          <w:sz w:val="32"/>
          <w:szCs w:val="32"/>
          <w:shd w:val="clear" w:color="auto" w:fill="FFFFFF"/>
          <w:lang w:eastAsia="zh-CN"/>
        </w:rPr>
        <w:t>严格按照政务公开要求，对涉及我局的相关政务信息及时公开，进一步提升群众知晓率。及时更新政府信息，以社会关注度高、公共利益大的政府信息作为突破口，推进全区卫健系统政府信息公开，以确保政府信息公开的完整性、全面性和及时性。</w:t>
      </w:r>
      <w:r>
        <w:rPr>
          <w:rFonts w:eastAsia="楷体_GB2312"/>
          <w:sz w:val="32"/>
          <w:szCs w:val="32"/>
          <w:shd w:val="clear" w:color="auto" w:fill="FFFFFF"/>
          <w:lang w:eastAsia="zh-CN"/>
        </w:rPr>
        <w:t>三是规范政府信息公开行为。</w:t>
      </w:r>
      <w:r>
        <w:rPr>
          <w:rFonts w:eastAsia="仿宋_GB2312"/>
          <w:sz w:val="32"/>
          <w:szCs w:val="32"/>
          <w:shd w:val="clear" w:color="auto" w:fill="FFFFFF"/>
          <w:lang w:eastAsia="zh-CN"/>
        </w:rPr>
        <w:t>推进政府信息公开申请处理系统应用，进一步规范信息公开流程；加强政府信息公布保密审核制度，确保公开的信息不泄密，泄密的信息不公开。主动听取广大群众对全区卫生健康工作的意见和建议，充分发挥人民群众和新闻舆论的监督作用，不断改进工作。</w:t>
      </w:r>
    </w:p>
    <w:p>
      <w:pPr>
        <w:pStyle w:val="4"/>
        <w:shd w:val="clear" w:color="auto" w:fill="FFFFFF"/>
        <w:spacing w:before="0" w:beforeAutospacing="0" w:after="0" w:afterAutospacing="0" w:line="560" w:lineRule="exact"/>
        <w:rPr>
          <w:rFonts w:eastAsia="黑体"/>
          <w:color w:val="auto"/>
          <w:sz w:val="32"/>
          <w:szCs w:val="32"/>
          <w:lang w:eastAsia="zh-CN" w:bidi="zh-TW"/>
        </w:rPr>
      </w:pPr>
      <w:r>
        <w:rPr>
          <w:rFonts w:hint="eastAsia" w:eastAsia="黑体"/>
          <w:color w:val="auto"/>
          <w:sz w:val="32"/>
          <w:szCs w:val="32"/>
          <w:lang w:eastAsia="zh-CN" w:bidi="zh-TW"/>
        </w:rPr>
        <w:t xml:space="preserve">    </w:t>
      </w:r>
      <w:r>
        <w:rPr>
          <w:rFonts w:eastAsia="黑体"/>
          <w:color w:val="auto"/>
          <w:sz w:val="32"/>
          <w:szCs w:val="32"/>
          <w:lang w:eastAsia="zh-CN" w:bidi="zh-TW"/>
        </w:rPr>
        <w:t>六、其他需要报告的事项</w:t>
      </w:r>
    </w:p>
    <w:p>
      <w:pPr>
        <w:pStyle w:val="4"/>
        <w:shd w:val="clear" w:color="auto" w:fill="FFFFFF"/>
        <w:spacing w:before="0" w:beforeAutospacing="0" w:after="0" w:afterAutospacing="0" w:line="560" w:lineRule="exact"/>
        <w:ind w:firstLine="643" w:firstLineChars="200"/>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spacing w:line="560" w:lineRule="exact"/>
        <w:ind w:firstLine="640" w:firstLineChars="200"/>
        <w:rPr>
          <w:rFonts w:eastAsia="仿宋_GB2312"/>
          <w:color w:val="auto"/>
          <w:sz w:val="32"/>
          <w:szCs w:val="32"/>
          <w:lang w:eastAsia="zh-CN"/>
        </w:rPr>
      </w:pPr>
      <w:r>
        <w:rPr>
          <w:rFonts w:hint="eastAsia" w:eastAsia="仿宋_GB2312"/>
          <w:color w:val="auto"/>
          <w:sz w:val="32"/>
          <w:szCs w:val="32"/>
          <w:lang w:eastAsia="zh-CN"/>
        </w:rPr>
        <w:t>2021年，市中区（单位全称）</w:t>
      </w:r>
      <w:r>
        <w:rPr>
          <w:rFonts w:eastAsia="仿宋_GB2312"/>
          <w:color w:val="auto"/>
          <w:sz w:val="32"/>
          <w:szCs w:val="32"/>
          <w:lang w:eastAsia="zh-CN"/>
        </w:rPr>
        <w:t>共承办</w:t>
      </w:r>
      <w:r>
        <w:rPr>
          <w:rFonts w:hint="eastAsia" w:eastAsia="仿宋_GB2312"/>
          <w:color w:val="auto"/>
          <w:sz w:val="32"/>
          <w:szCs w:val="32"/>
          <w:lang w:eastAsia="zh-CN"/>
        </w:rPr>
        <w:t>区级人大代表建议5件，</w:t>
      </w:r>
      <w:r>
        <w:rPr>
          <w:rFonts w:eastAsia="仿宋_GB2312"/>
          <w:color w:val="auto"/>
          <w:sz w:val="32"/>
          <w:szCs w:val="32"/>
          <w:lang w:eastAsia="zh-CN"/>
        </w:rPr>
        <w:t>办复率100%；承办</w:t>
      </w:r>
      <w:r>
        <w:rPr>
          <w:rFonts w:hint="eastAsia" w:eastAsia="仿宋_GB2312"/>
          <w:color w:val="auto"/>
          <w:sz w:val="32"/>
          <w:szCs w:val="32"/>
          <w:lang w:eastAsia="zh-CN"/>
        </w:rPr>
        <w:t>区政协委员提案8件，</w:t>
      </w:r>
      <w:r>
        <w:rPr>
          <w:rFonts w:eastAsia="仿宋_GB2312"/>
          <w:color w:val="auto"/>
          <w:sz w:val="32"/>
          <w:szCs w:val="32"/>
          <w:lang w:eastAsia="zh-CN"/>
        </w:rPr>
        <w:t>办复率100%。</w:t>
      </w:r>
    </w:p>
    <w:p>
      <w:pPr>
        <w:spacing w:line="560" w:lineRule="exact"/>
        <w:ind w:firstLine="643" w:firstLineChars="200"/>
        <w:rPr>
          <w:rFonts w:eastAsia="仿宋_GB2312"/>
          <w:color w:val="auto"/>
          <w:sz w:val="32"/>
          <w:szCs w:val="32"/>
          <w:lang w:eastAsia="zh-CN"/>
        </w:rPr>
      </w:pPr>
      <w:r>
        <w:rPr>
          <w:rFonts w:hint="eastAsia" w:eastAsia="仿宋_GB2312"/>
          <w:b/>
          <w:bCs/>
          <w:color w:val="auto"/>
          <w:sz w:val="32"/>
          <w:szCs w:val="32"/>
          <w:lang w:eastAsia="zh-CN"/>
        </w:rPr>
        <w:t>（二）收取信息处理费的情况</w:t>
      </w:r>
    </w:p>
    <w:p>
      <w:pPr>
        <w:spacing w:line="560" w:lineRule="exact"/>
        <w:ind w:firstLine="640" w:firstLineChars="200"/>
        <w:rPr>
          <w:rFonts w:eastAsia="仿宋_GB2312"/>
          <w:color w:val="auto"/>
          <w:sz w:val="32"/>
          <w:szCs w:val="32"/>
          <w:lang w:eastAsia="zh-CN"/>
        </w:rPr>
      </w:pPr>
      <w:r>
        <w:rPr>
          <w:rFonts w:hint="eastAsia" w:ascii="仿宋_GB2312" w:eastAsia="仿宋_GB2312" w:cs="仿宋_GB2312"/>
          <w:color w:val="auto"/>
          <w:sz w:val="32"/>
          <w:szCs w:val="32"/>
          <w:lang w:eastAsia="zh-CN"/>
        </w:rPr>
        <w:t>本年度依申请公开政府信息未收取任何费用。</w:t>
      </w:r>
    </w:p>
    <w:p>
      <w:pPr>
        <w:widowControl/>
        <w:spacing w:line="560" w:lineRule="exact"/>
        <w:ind w:firstLine="643" w:firstLineChars="200"/>
        <w:contextualSpacing/>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（三）其他需要报告事项</w:t>
      </w:r>
    </w:p>
    <w:p>
      <w:pPr>
        <w:widowControl/>
        <w:spacing w:line="560" w:lineRule="exact"/>
        <w:ind w:firstLine="640" w:firstLineChars="200"/>
        <w:contextualSpacing/>
        <w:rPr>
          <w:rFonts w:eastAsia="仿宋_GB2312"/>
          <w:b/>
          <w:bCs/>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市中区卫生健康局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w:t>
      </w:r>
      <w:r>
        <w:rPr>
          <w:rFonts w:hint="eastAsia" w:eastAsia="仿宋_GB2312"/>
          <w:b/>
          <w:sz w:val="32"/>
          <w:szCs w:val="32"/>
          <w:lang w:eastAsia="zh-CN"/>
        </w:rPr>
        <w:t>szqwshjhsyjadmin@zz.shandong.cn</w:t>
      </w:r>
      <w:r>
        <w:rPr>
          <w:rFonts w:eastAsia="仿宋_GB2312"/>
          <w:color w:val="auto"/>
          <w:sz w:val="32"/>
          <w:szCs w:val="32"/>
          <w:shd w:val="clear" w:color="auto" w:fill="FFFFFF"/>
          <w:lang w:eastAsia="zh-CN"/>
        </w:rPr>
        <w:t>） 。</w:t>
      </w:r>
    </w:p>
    <w:p>
      <w:pPr>
        <w:widowControl/>
        <w:spacing w:line="560" w:lineRule="exact"/>
        <w:ind w:firstLine="640" w:firstLineChars="200"/>
        <w:contextualSpacing/>
        <w:jc w:val="right"/>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市中区卫生健康局</w:t>
      </w:r>
    </w:p>
    <w:p>
      <w:pPr>
        <w:widowControl/>
        <w:spacing w:line="560" w:lineRule="exact"/>
        <w:ind w:firstLine="643" w:firstLineChars="200"/>
        <w:contextualSpacing/>
        <w:jc w:val="right"/>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2022年1月10日</w:t>
      </w:r>
    </w:p>
    <w:p>
      <w:pPr>
        <w:rPr>
          <w:rFonts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path/>
          <v:fill on="f" focussize="0,0"/>
          <v:stroke on="f" joinstyle="miter"/>
          <v:imagedata o:title=""/>
          <o:lock v:ext="edit"/>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3" o:spid="_x0000_s1027"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path/>
          <v:fill on="f" focussize="0,0"/>
          <v:stroke on="f" joinstyle="miter"/>
          <v:imagedata o:title=""/>
          <o:lock v:ext="edit"/>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2B69"/>
    <w:rsid w:val="00050967"/>
    <w:rsid w:val="00081823"/>
    <w:rsid w:val="00112B69"/>
    <w:rsid w:val="00311509"/>
    <w:rsid w:val="003212A0"/>
    <w:rsid w:val="00426FFB"/>
    <w:rsid w:val="005A70FF"/>
    <w:rsid w:val="005F2C2E"/>
    <w:rsid w:val="00654717"/>
    <w:rsid w:val="00711B2E"/>
    <w:rsid w:val="007B37C4"/>
    <w:rsid w:val="00803ED1"/>
    <w:rsid w:val="0081710E"/>
    <w:rsid w:val="00841A60"/>
    <w:rsid w:val="008940BF"/>
    <w:rsid w:val="008D4D87"/>
    <w:rsid w:val="009F7ABD"/>
    <w:rsid w:val="00B03096"/>
    <w:rsid w:val="00B70A68"/>
    <w:rsid w:val="00C419AB"/>
    <w:rsid w:val="00CE4915"/>
    <w:rsid w:val="00DB2D0E"/>
    <w:rsid w:val="00DB7AE9"/>
    <w:rsid w:val="00E650FF"/>
    <w:rsid w:val="00F0539A"/>
    <w:rsid w:val="00F361A1"/>
    <w:rsid w:val="00FD1B68"/>
    <w:rsid w:val="021D046B"/>
    <w:rsid w:val="025E0CC2"/>
    <w:rsid w:val="046D2F82"/>
    <w:rsid w:val="0A3E1141"/>
    <w:rsid w:val="0B8F2AB2"/>
    <w:rsid w:val="101A475B"/>
    <w:rsid w:val="1AAF71B2"/>
    <w:rsid w:val="1D276D79"/>
    <w:rsid w:val="2007106B"/>
    <w:rsid w:val="244C7837"/>
    <w:rsid w:val="24B65C7B"/>
    <w:rsid w:val="271F6DB2"/>
    <w:rsid w:val="28BE4FD8"/>
    <w:rsid w:val="2A366FA5"/>
    <w:rsid w:val="2B247393"/>
    <w:rsid w:val="2B7E7F7A"/>
    <w:rsid w:val="34C27E73"/>
    <w:rsid w:val="372B44B7"/>
    <w:rsid w:val="37DD4F2A"/>
    <w:rsid w:val="3CA63654"/>
    <w:rsid w:val="424E6C95"/>
    <w:rsid w:val="4A263FB9"/>
    <w:rsid w:val="5A891C07"/>
    <w:rsid w:val="5AE6494C"/>
    <w:rsid w:val="5EA95810"/>
    <w:rsid w:val="62A02DE5"/>
    <w:rsid w:val="62DF0CAC"/>
    <w:rsid w:val="64490C92"/>
    <w:rsid w:val="646831BF"/>
    <w:rsid w:val="72BB477E"/>
    <w:rsid w:val="743334DA"/>
    <w:rsid w:val="754C48A1"/>
    <w:rsid w:val="7D726BF8"/>
    <w:rsid w:val="7F2D6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 w:type="paragraph" w:styleId="3">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Char"/>
    <w:basedOn w:val="6"/>
    <w:link w:val="3"/>
    <w:semiHidden/>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503</Words>
  <Characters>2873</Characters>
  <Lines>23</Lines>
  <Paragraphs>6</Paragraphs>
  <TotalTime>101</TotalTime>
  <ScaleCrop>false</ScaleCrop>
  <LinksUpToDate>false</LinksUpToDate>
  <CharactersWithSpaces>3370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2022-01-14T03:09:00Z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