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文星书宋" w:eastAsia="方正小标宋简体"/>
          <w:color w:val="000000"/>
          <w:sz w:val="44"/>
          <w:szCs w:val="44"/>
        </w:rPr>
      </w:pPr>
      <w:bookmarkStart w:id="0" w:name="_GoBack"/>
      <w:bookmarkEnd w:id="0"/>
      <w:r>
        <w:rPr>
          <w:rFonts w:hint="eastAsia" w:ascii="方正小标宋简体" w:hAnsi="文星书宋" w:eastAsia="方正小标宋简体"/>
          <w:color w:val="000000"/>
          <w:sz w:val="44"/>
          <w:szCs w:val="44"/>
          <w:lang w:val="en-US" w:eastAsia="zh-CN"/>
        </w:rPr>
        <w:t>市中</w:t>
      </w:r>
      <w:r>
        <w:rPr>
          <w:rFonts w:hint="eastAsia" w:ascii="方正小标宋简体" w:hAnsi="文星书宋" w:eastAsia="方正小标宋简体"/>
          <w:color w:val="000000"/>
          <w:sz w:val="44"/>
          <w:szCs w:val="44"/>
        </w:rPr>
        <w:t>区人民政府</w:t>
      </w:r>
    </w:p>
    <w:p>
      <w:pPr>
        <w:spacing w:line="560" w:lineRule="exact"/>
        <w:jc w:val="center"/>
        <w:rPr>
          <w:rFonts w:ascii="方正小标宋简体" w:hAnsi="文星书宋" w:eastAsia="方正小标宋简体"/>
          <w:color w:val="000000"/>
          <w:sz w:val="44"/>
          <w:szCs w:val="44"/>
        </w:rPr>
      </w:pPr>
      <w:r>
        <w:rPr>
          <w:rFonts w:hint="eastAsia" w:ascii="方正小标宋简体" w:hAnsi="文星书宋" w:eastAsia="方正小标宋简体"/>
          <w:color w:val="000000"/>
          <w:sz w:val="44"/>
          <w:szCs w:val="44"/>
        </w:rPr>
        <w:t>20</w:t>
      </w:r>
      <w:r>
        <w:rPr>
          <w:rFonts w:hint="eastAsia" w:ascii="方正小标宋简体" w:hAnsi="文星书宋" w:eastAsia="方正小标宋简体"/>
          <w:color w:val="000000"/>
          <w:sz w:val="44"/>
          <w:szCs w:val="44"/>
          <w:lang w:val="en-US" w:eastAsia="zh-CN"/>
        </w:rPr>
        <w:t>20</w:t>
      </w:r>
      <w:r>
        <w:rPr>
          <w:rFonts w:hint="eastAsia" w:ascii="方正小标宋简体" w:hAnsi="文星书宋" w:eastAsia="方正小标宋简体"/>
          <w:color w:val="000000"/>
          <w:sz w:val="44"/>
          <w:szCs w:val="44"/>
        </w:rPr>
        <w:t>年度政府信息公开工作年度报告</w:t>
      </w:r>
    </w:p>
    <w:p>
      <w:pPr>
        <w:spacing w:line="560" w:lineRule="exact"/>
        <w:ind w:left="638" w:leftChars="304"/>
        <w:rPr>
          <w:rFonts w:ascii="黑体" w:hAnsi="黑体"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黑体" w:eastAsia="仿宋_GB2312"/>
          <w:color w:val="000000"/>
          <w:sz w:val="32"/>
          <w:szCs w:val="32"/>
        </w:rPr>
      </w:pPr>
      <w:r>
        <w:rPr>
          <w:rFonts w:hint="eastAsia" w:ascii="仿宋_GB2312" w:hAnsi="黑体" w:eastAsia="仿宋_GB2312"/>
          <w:color w:val="000000"/>
          <w:sz w:val="32"/>
          <w:szCs w:val="32"/>
        </w:rPr>
        <w:t>根据《中华人民共和国政府信息公开条例》《山东省政府信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color w:val="000000"/>
          <w:sz w:val="32"/>
          <w:szCs w:val="32"/>
        </w:rPr>
      </w:pPr>
      <w:r>
        <w:rPr>
          <w:rFonts w:hint="eastAsia" w:ascii="仿宋_GB2312" w:hAnsi="黑体" w:eastAsia="仿宋_GB2312"/>
          <w:color w:val="000000"/>
          <w:sz w:val="32"/>
          <w:szCs w:val="32"/>
        </w:rPr>
        <w:t>息公开办法》和市政府办公室《关于做好20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年政府信息公开工作年度报告编制和发布工作的通知》要求，现将</w:t>
      </w:r>
      <w:r>
        <w:rPr>
          <w:rFonts w:hint="eastAsia" w:ascii="仿宋_GB2312" w:hAnsi="黑体" w:eastAsia="仿宋_GB2312"/>
          <w:color w:val="000000"/>
          <w:sz w:val="32"/>
          <w:szCs w:val="32"/>
          <w:lang w:val="en-US" w:eastAsia="zh-CN"/>
        </w:rPr>
        <w:t>市中</w:t>
      </w:r>
      <w:r>
        <w:rPr>
          <w:rFonts w:hint="eastAsia" w:ascii="仿宋_GB2312" w:hAnsi="黑体" w:eastAsia="仿宋_GB2312"/>
          <w:color w:val="000000"/>
          <w:sz w:val="32"/>
          <w:szCs w:val="32"/>
        </w:rPr>
        <w:t>区20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年度政府信息公开工作进行总结报告。报告主要由总体情况、主动公开政府信息情况、收到和处理政府信息公开申请情况、政府信息公开行政复议行</w:t>
      </w:r>
      <w:r>
        <w:rPr>
          <w:rFonts w:hint="eastAsia" w:ascii="仿宋_GB2312" w:hAnsi="黑体" w:eastAsia="仿宋_GB2312"/>
          <w:color w:val="000000"/>
          <w:sz w:val="32"/>
          <w:szCs w:val="32"/>
          <w:lang w:val="en-US" w:eastAsia="zh-CN"/>
        </w:rPr>
        <w:t>和</w:t>
      </w:r>
      <w:r>
        <w:rPr>
          <w:rFonts w:hint="eastAsia" w:ascii="仿宋_GB2312" w:hAnsi="黑体" w:eastAsia="仿宋_GB2312"/>
          <w:color w:val="000000"/>
          <w:sz w:val="32"/>
          <w:szCs w:val="32"/>
        </w:rPr>
        <w:t>政诉讼情况、存在的主要问题及改进</w:t>
      </w:r>
      <w:r>
        <w:rPr>
          <w:rFonts w:hint="eastAsia" w:ascii="仿宋_GB2312" w:hAnsi="黑体" w:eastAsia="仿宋_GB2312"/>
          <w:color w:val="000000"/>
          <w:sz w:val="32"/>
          <w:szCs w:val="32"/>
          <w:lang w:val="en-US" w:eastAsia="zh-CN"/>
        </w:rPr>
        <w:t>措施</w:t>
      </w:r>
      <w:r>
        <w:rPr>
          <w:rFonts w:hint="eastAsia" w:ascii="仿宋_GB2312" w:hAnsi="黑体" w:eastAsia="仿宋_GB2312"/>
          <w:color w:val="000000"/>
          <w:sz w:val="32"/>
          <w:szCs w:val="32"/>
        </w:rPr>
        <w:t>、其他需要报告的事项等6部分组成。</w:t>
      </w:r>
      <w:r>
        <w:rPr>
          <w:rFonts w:hint="eastAsia" w:ascii="仿宋_GB2312" w:hAnsi="黑体" w:eastAsia="仿宋_GB2312"/>
          <w:color w:val="000000"/>
          <w:sz w:val="32"/>
          <w:szCs w:val="32"/>
        </w:rPr>
        <w:cr/>
      </w:r>
      <w:r>
        <w:rPr>
          <w:rFonts w:hint="eastAsia" w:ascii="仿宋_GB2312" w:hAnsi="黑体" w:eastAsia="仿宋_GB2312"/>
          <w:color w:val="000000"/>
          <w:sz w:val="32"/>
          <w:szCs w:val="32"/>
        </w:rPr>
        <w:t xml:space="preserve">    本报告中所列数据的统计期限为20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年1月1日至20</w:t>
      </w:r>
      <w:r>
        <w:rPr>
          <w:rFonts w:hint="eastAsia" w:ascii="仿宋_GB2312" w:hAnsi="黑体" w:eastAsia="仿宋_GB2312"/>
          <w:color w:val="000000"/>
          <w:sz w:val="32"/>
          <w:szCs w:val="32"/>
          <w:lang w:val="en-US" w:eastAsia="zh-CN"/>
        </w:rPr>
        <w:t>20</w:t>
      </w:r>
      <w:r>
        <w:rPr>
          <w:rFonts w:hint="eastAsia" w:ascii="仿宋_GB2312" w:hAnsi="黑体" w:eastAsia="仿宋_GB2312"/>
          <w:color w:val="000000"/>
          <w:sz w:val="32"/>
          <w:szCs w:val="32"/>
        </w:rPr>
        <w:t>年12月31日。</w:t>
      </w:r>
      <w:r>
        <w:rPr>
          <w:rFonts w:hint="eastAsia" w:ascii="仿宋_GB2312" w:hAnsi="黑体" w:eastAsia="仿宋_GB2312"/>
          <w:color w:val="000000"/>
          <w:sz w:val="32"/>
          <w:szCs w:val="32"/>
          <w:lang w:val="en-US" w:eastAsia="zh-CN"/>
        </w:rPr>
        <w:t>本报告</w:t>
      </w:r>
      <w:r>
        <w:rPr>
          <w:rFonts w:hint="eastAsia" w:ascii="仿宋_GB2312" w:hAnsi="黑体" w:eastAsia="仿宋_GB2312"/>
          <w:color w:val="000000"/>
          <w:sz w:val="32"/>
          <w:szCs w:val="32"/>
        </w:rPr>
        <w:t>将于202</w:t>
      </w:r>
      <w:r>
        <w:rPr>
          <w:rFonts w:hint="eastAsia" w:ascii="仿宋_GB2312" w:hAnsi="黑体" w:eastAsia="仿宋_GB2312"/>
          <w:color w:val="000000"/>
          <w:sz w:val="32"/>
          <w:szCs w:val="32"/>
          <w:lang w:val="en-US" w:eastAsia="zh-CN"/>
        </w:rPr>
        <w:t>1</w:t>
      </w:r>
      <w:r>
        <w:rPr>
          <w:rFonts w:hint="eastAsia" w:ascii="仿宋_GB2312" w:hAnsi="黑体" w:eastAsia="仿宋_GB2312"/>
          <w:color w:val="000000"/>
          <w:sz w:val="32"/>
          <w:szCs w:val="32"/>
        </w:rPr>
        <w:t>年2月20日前在</w:t>
      </w:r>
      <w:r>
        <w:rPr>
          <w:rFonts w:hint="eastAsia" w:ascii="仿宋_GB2312" w:hAnsi="黑体" w:eastAsia="仿宋_GB2312"/>
          <w:color w:val="000000"/>
          <w:sz w:val="32"/>
          <w:szCs w:val="32"/>
          <w:lang w:val="en-US" w:eastAsia="zh-CN"/>
        </w:rPr>
        <w:t>市中</w:t>
      </w:r>
      <w:r>
        <w:rPr>
          <w:rFonts w:hint="eastAsia" w:ascii="仿宋_GB2312" w:hAnsi="黑体" w:eastAsia="仿宋_GB2312"/>
          <w:color w:val="000000"/>
          <w:sz w:val="32"/>
          <w:szCs w:val="32"/>
        </w:rPr>
        <w:t>区政府门户网站（http://www.zzszq.gov.cn/）予以公布。如对本报告有疑问，请与</w:t>
      </w:r>
      <w:r>
        <w:rPr>
          <w:rFonts w:hint="eastAsia" w:ascii="仿宋_GB2312" w:hAnsi="黑体" w:eastAsia="仿宋_GB2312"/>
          <w:color w:val="000000"/>
          <w:sz w:val="32"/>
          <w:szCs w:val="32"/>
          <w:lang w:val="en-US" w:eastAsia="zh-CN"/>
        </w:rPr>
        <w:t>枣庄市市中区</w:t>
      </w:r>
      <w:r>
        <w:rPr>
          <w:rFonts w:hint="eastAsia" w:ascii="仿宋_GB2312" w:hAnsi="黑体" w:eastAsia="仿宋_GB2312"/>
          <w:color w:val="000000"/>
          <w:sz w:val="32"/>
          <w:szCs w:val="32"/>
        </w:rPr>
        <w:t>人民政府政务公开</w:t>
      </w:r>
      <w:r>
        <w:rPr>
          <w:rFonts w:hint="eastAsia" w:ascii="仿宋_GB2312" w:hAnsi="黑体" w:eastAsia="仿宋_GB2312"/>
          <w:color w:val="000000"/>
          <w:sz w:val="32"/>
          <w:szCs w:val="32"/>
          <w:lang w:val="en-US" w:eastAsia="zh-CN"/>
        </w:rPr>
        <w:t>办公室</w:t>
      </w:r>
      <w:r>
        <w:rPr>
          <w:rFonts w:hint="eastAsia" w:ascii="仿宋_GB2312" w:hAnsi="黑体" w:eastAsia="仿宋_GB2312"/>
          <w:color w:val="000000"/>
          <w:sz w:val="32"/>
          <w:szCs w:val="32"/>
        </w:rPr>
        <w:t>联系。（地址：</w:t>
      </w:r>
      <w:r>
        <w:rPr>
          <w:rFonts w:hint="eastAsia" w:ascii="仿宋_GB2312" w:hAnsi="黑体" w:eastAsia="仿宋_GB2312"/>
          <w:color w:val="000000"/>
          <w:sz w:val="32"/>
          <w:szCs w:val="32"/>
          <w:lang w:val="en-US" w:eastAsia="zh-CN"/>
        </w:rPr>
        <w:t>枣庄市市中区君山中路321号，</w:t>
      </w:r>
      <w:r>
        <w:rPr>
          <w:rFonts w:hint="eastAsia" w:ascii="仿宋_GB2312" w:hAnsi="黑体" w:eastAsia="仿宋_GB2312"/>
          <w:color w:val="000000"/>
          <w:sz w:val="32"/>
          <w:szCs w:val="32"/>
        </w:rPr>
        <w:t>邮编：</w:t>
      </w:r>
      <w:r>
        <w:rPr>
          <w:rFonts w:hint="eastAsia" w:ascii="仿宋_GB2312" w:hAnsi="黑体" w:eastAsia="仿宋_GB2312"/>
          <w:color w:val="000000"/>
          <w:sz w:val="32"/>
          <w:szCs w:val="32"/>
          <w:lang w:val="en-US" w:eastAsia="zh-CN"/>
        </w:rPr>
        <w:t>277100</w:t>
      </w:r>
      <w:r>
        <w:rPr>
          <w:rFonts w:hint="eastAsia" w:ascii="仿宋_GB2312" w:hAnsi="黑体" w:eastAsia="仿宋_GB2312"/>
          <w:color w:val="000000"/>
          <w:sz w:val="32"/>
          <w:szCs w:val="32"/>
        </w:rPr>
        <w:t>，电话：</w:t>
      </w:r>
      <w:r>
        <w:rPr>
          <w:rFonts w:hint="eastAsia" w:ascii="仿宋_GB2312" w:hAnsi="黑体" w:eastAsia="仿宋_GB2312"/>
          <w:color w:val="000000"/>
          <w:sz w:val="32"/>
          <w:szCs w:val="32"/>
          <w:lang w:val="en-US" w:eastAsia="zh-CN"/>
        </w:rPr>
        <w:t>0632-3083075</w:t>
      </w:r>
      <w:r>
        <w:rPr>
          <w:rFonts w:hint="eastAsia" w:ascii="仿宋_GB2312" w:hAnsi="黑体" w:eastAsia="仿宋_GB2312"/>
          <w:color w:val="000000"/>
          <w:sz w:val="32"/>
          <w:szCs w:val="32"/>
        </w:rPr>
        <w:t>，电子邮箱szqxxglzx@</w:t>
      </w:r>
      <w:r>
        <w:rPr>
          <w:rFonts w:hint="eastAsia" w:ascii="仿宋_GB2312" w:hAnsi="黑体" w:eastAsia="仿宋_GB2312"/>
          <w:color w:val="000000"/>
          <w:sz w:val="32"/>
          <w:szCs w:val="32"/>
          <w:lang w:val="en-US" w:eastAsia="zh-CN"/>
        </w:rPr>
        <w:t>zz</w:t>
      </w:r>
      <w:r>
        <w:rPr>
          <w:rFonts w:hint="eastAsia" w:ascii="仿宋_GB2312" w:hAnsi="黑体" w:eastAsia="仿宋_GB2312"/>
          <w:color w:val="000000"/>
          <w:sz w:val="32"/>
          <w:szCs w:val="32"/>
        </w:rPr>
        <w:t>.shandong.cn）</w:t>
      </w:r>
      <w:r>
        <w:rPr>
          <w:rFonts w:hint="eastAsia" w:ascii="仿宋_GB2312" w:hAnsi="黑体" w:eastAsia="仿宋_GB2312"/>
          <w:color w:val="000000"/>
          <w:sz w:val="32"/>
          <w:szCs w:val="32"/>
        </w:rPr>
        <w:cr/>
      </w:r>
      <w:r>
        <w:rPr>
          <w:rFonts w:hint="eastAsia" w:ascii="仿宋_GB2312" w:hAnsi="黑体" w:eastAsia="仿宋_GB2312"/>
          <w:color w:val="000000"/>
          <w:sz w:val="32"/>
          <w:szCs w:val="32"/>
        </w:rPr>
        <w:t xml:space="preserve">    </w:t>
      </w:r>
      <w:r>
        <w:rPr>
          <w:rFonts w:hint="eastAsia" w:ascii="黑体" w:hAnsi="黑体" w:eastAsia="黑体"/>
          <w:color w:val="00000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（一）主动公开工作</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hint="eastAsia" w:ascii="仿宋_GB2312" w:hAnsi="文星书宋" w:eastAsia="仿宋_GB2312"/>
          <w:b/>
          <w:color w:val="000000"/>
          <w:sz w:val="32"/>
          <w:szCs w:val="32"/>
        </w:rPr>
      </w:pPr>
      <w:r>
        <w:rPr>
          <w:rFonts w:hint="eastAsia" w:ascii="仿宋_GB2312" w:hAnsi="文星书宋" w:eastAsia="仿宋_GB2312"/>
          <w:b/>
          <w:color w:val="000000"/>
          <w:sz w:val="32"/>
          <w:szCs w:val="32"/>
        </w:rPr>
        <w:t>1.规范决策公开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完善重大决策预公开、会议公开、政策解读等机制，推进重大决策全过程公开，凡涉及个人或组织的重大利益以及有重大社会影响的事项，均通过意见征集专栏向社会公众公开征集意见。预公开内容包括：决策公告、决策草案、决策背景及决策依据，意见征集结束后，及时公开意见征集结果反馈。全年共开展意见征集</w:t>
      </w:r>
      <w:r>
        <w:rPr>
          <w:rFonts w:hint="eastAsia" w:ascii="仿宋_GB2312" w:hAnsi="文星书宋" w:eastAsia="仿宋_GB2312"/>
          <w:color w:val="000000"/>
          <w:sz w:val="32"/>
          <w:szCs w:val="32"/>
          <w:lang w:val="en-US" w:eastAsia="zh-CN"/>
        </w:rPr>
        <w:t>11</w:t>
      </w:r>
      <w:r>
        <w:rPr>
          <w:rFonts w:hint="eastAsia" w:ascii="仿宋_GB2312" w:hAnsi="文星书宋" w:eastAsia="仿宋_GB2312"/>
          <w:color w:val="000000"/>
          <w:sz w:val="32"/>
          <w:szCs w:val="32"/>
        </w:rPr>
        <w:t>期，收集意见</w:t>
      </w:r>
      <w:r>
        <w:rPr>
          <w:rFonts w:hint="eastAsia" w:ascii="仿宋_GB2312" w:hAnsi="文星书宋" w:eastAsia="仿宋_GB2312"/>
          <w:color w:val="000000"/>
          <w:sz w:val="32"/>
          <w:szCs w:val="32"/>
          <w:lang w:val="en-US" w:eastAsia="zh-CN"/>
        </w:rPr>
        <w:t>22</w:t>
      </w:r>
      <w:r>
        <w:rPr>
          <w:rFonts w:hint="eastAsia" w:ascii="仿宋_GB2312" w:hAnsi="文星书宋" w:eastAsia="仿宋_GB2312"/>
          <w:color w:val="000000"/>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常态化落实利益相关方列席政府常务会议制度，邀请人大代表、政协委员、企业负责人、群众代表等利益相关方列席区政府常务会议，参与城区道路改造、农村改厕、优化营商环境建设等多个公众关切议题的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做好政策解读工作，精准传递政策意图。严格落实解读材料和政策文件“同步起草、同步审批、同步发布”（三同步）工作制度，</w:t>
      </w:r>
      <w:r>
        <w:rPr>
          <w:rFonts w:hint="eastAsia" w:ascii="仿宋_GB2312" w:hAnsi="文星书宋" w:eastAsia="仿宋_GB2312"/>
          <w:color w:val="000000"/>
          <w:sz w:val="32"/>
          <w:szCs w:val="32"/>
          <w:lang w:val="en-US" w:eastAsia="zh-CN"/>
        </w:rPr>
        <w:t>采取</w:t>
      </w:r>
      <w:r>
        <w:rPr>
          <w:rFonts w:hint="eastAsia" w:ascii="仿宋_GB2312" w:hAnsi="文星书宋" w:eastAsia="仿宋_GB2312"/>
          <w:color w:val="000000"/>
          <w:sz w:val="32"/>
          <w:szCs w:val="32"/>
        </w:rPr>
        <w:t>主要负责人解读、文字解读、图文解读、音视频解读等多种形式的解读，重点阐明政策措施的背景依据、目标任务、主要内容、制度保障等，确保社会公众读得懂、能理解。全年共通过政策解读平台发布各类政策解读</w:t>
      </w:r>
      <w:r>
        <w:rPr>
          <w:rFonts w:hint="eastAsia" w:ascii="仿宋_GB2312" w:hAnsi="文星书宋" w:eastAsia="仿宋_GB2312"/>
          <w:color w:val="000000"/>
          <w:sz w:val="32"/>
          <w:szCs w:val="32"/>
          <w:lang w:val="en-US" w:eastAsia="zh-CN"/>
        </w:rPr>
        <w:t>35</w:t>
      </w:r>
      <w:r>
        <w:rPr>
          <w:rFonts w:hint="eastAsia" w:ascii="仿宋_GB2312" w:hAnsi="文星书宋" w:eastAsia="仿宋_GB2312"/>
          <w:color w:val="000000"/>
          <w:sz w:val="32"/>
          <w:szCs w:val="32"/>
        </w:rPr>
        <w:t>件。</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2.落实执行和结果公开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做好重大部署推进公开。集中展示</w:t>
      </w:r>
      <w:r>
        <w:rPr>
          <w:rFonts w:hint="eastAsia" w:ascii="仿宋_GB2312" w:hAnsi="文星书宋" w:eastAsia="仿宋_GB2312"/>
          <w:color w:val="000000"/>
          <w:sz w:val="32"/>
          <w:szCs w:val="32"/>
          <w:lang w:val="en-US" w:eastAsia="zh-CN"/>
        </w:rPr>
        <w:t>市中</w:t>
      </w:r>
      <w:r>
        <w:rPr>
          <w:rFonts w:hint="eastAsia" w:ascii="仿宋_GB2312" w:hAnsi="文星书宋" w:eastAsia="仿宋_GB2312"/>
          <w:color w:val="000000"/>
          <w:sz w:val="32"/>
          <w:szCs w:val="32"/>
        </w:rPr>
        <w:t>区落实国家</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省</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市重大决策部署、政府工作报告、年度重点工作、民生实事项目的进展情况、成效举措、督查整改及执行评估情况，方便公众监督和查阅。重点公开执行措施、实施步骤、责任分工、监督方式，并按季度跟进工作推进情况及时公开工作进展、取得成效、后续举措等信息。</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做好建议提案办理结果公开。设置建议提案办理结果专栏，分类公开区十</w:t>
      </w:r>
      <w:r>
        <w:rPr>
          <w:rFonts w:hint="eastAsia" w:ascii="仿宋_GB2312" w:hAnsi="文星书宋" w:eastAsia="仿宋_GB2312"/>
          <w:color w:val="000000"/>
          <w:sz w:val="32"/>
          <w:szCs w:val="32"/>
          <w:lang w:val="en-US" w:eastAsia="zh-CN"/>
        </w:rPr>
        <w:t>二</w:t>
      </w:r>
      <w:r>
        <w:rPr>
          <w:rFonts w:hint="eastAsia" w:ascii="仿宋_GB2312" w:hAnsi="文星书宋" w:eastAsia="仿宋_GB2312"/>
          <w:color w:val="000000"/>
          <w:sz w:val="32"/>
          <w:szCs w:val="32"/>
        </w:rPr>
        <w:t>届人大</w:t>
      </w:r>
      <w:r>
        <w:rPr>
          <w:rFonts w:hint="eastAsia" w:ascii="仿宋_GB2312" w:hAnsi="文星书宋" w:eastAsia="仿宋_GB2312"/>
          <w:color w:val="000000"/>
          <w:sz w:val="32"/>
          <w:szCs w:val="32"/>
          <w:lang w:val="en-US" w:eastAsia="zh-CN"/>
        </w:rPr>
        <w:t>四</w:t>
      </w:r>
      <w:r>
        <w:rPr>
          <w:rFonts w:hint="eastAsia" w:ascii="仿宋_GB2312" w:hAnsi="文星书宋" w:eastAsia="仿宋_GB2312"/>
          <w:color w:val="000000"/>
          <w:sz w:val="32"/>
          <w:szCs w:val="32"/>
        </w:rPr>
        <w:t>次会议建议和区政协九届</w:t>
      </w:r>
      <w:r>
        <w:rPr>
          <w:rFonts w:hint="eastAsia" w:ascii="仿宋_GB2312" w:hAnsi="文星书宋" w:eastAsia="仿宋_GB2312"/>
          <w:color w:val="000000"/>
          <w:sz w:val="32"/>
          <w:szCs w:val="32"/>
          <w:lang w:val="en-US" w:eastAsia="zh-CN"/>
        </w:rPr>
        <w:t>四</w:t>
      </w:r>
      <w:r>
        <w:rPr>
          <w:rFonts w:hint="eastAsia" w:ascii="仿宋_GB2312" w:hAnsi="文星书宋" w:eastAsia="仿宋_GB2312"/>
          <w:color w:val="000000"/>
          <w:sz w:val="32"/>
          <w:szCs w:val="32"/>
        </w:rPr>
        <w:t>次会议委员提案办理答复及总体办理情况，规范发布名称，便于公众查找。</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3.优化管理和服务公开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放管服”改革信息公开。结合政府机构改革和职能优化，及时公布《市中区人民政府关于推进“市县同权”改革调整一批行政许可及关联事项的通知》（市中政发〔2020〕24号），做好政府部门权责清单调整和公开工作，并及时进行动态调整。</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做好社会信用信息公开。依托政府信息公开网站</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实现信用信息查询、双公示、红黑名单发布。</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做好办事服务公开。认真贯彻落实国家</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省</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市关于加快推进“互联网+政务服务”各项工作部署，公开网上办事大厅服务事项清单，推动更多事项在网上办理，实现办事材料目录化、标准化，让群众办事更明白、更便捷。公开公共服务事项</w:t>
      </w:r>
      <w:r>
        <w:rPr>
          <w:rFonts w:hint="eastAsia" w:ascii="仿宋_GB2312" w:hAnsi="文星书宋" w:eastAsia="仿宋_GB2312"/>
          <w:color w:val="000000"/>
          <w:sz w:val="32"/>
          <w:szCs w:val="32"/>
          <w:lang w:val="en-US" w:eastAsia="zh-CN"/>
        </w:rPr>
        <w:t>5237</w:t>
      </w:r>
      <w:r>
        <w:rPr>
          <w:rFonts w:hint="eastAsia" w:ascii="仿宋_GB2312" w:hAnsi="文星书宋" w:eastAsia="仿宋_GB2312"/>
          <w:color w:val="000000"/>
          <w:sz w:val="32"/>
          <w:szCs w:val="32"/>
        </w:rPr>
        <w:t>项、可全程在线办理政务服务事项</w:t>
      </w:r>
      <w:r>
        <w:rPr>
          <w:rFonts w:hint="eastAsia" w:ascii="仿宋_GB2312" w:hAnsi="文星书宋" w:eastAsia="仿宋_GB2312"/>
          <w:color w:val="000000"/>
          <w:sz w:val="32"/>
          <w:szCs w:val="32"/>
          <w:lang w:val="en-US" w:eastAsia="zh-CN"/>
        </w:rPr>
        <w:t>1096</w:t>
      </w:r>
      <w:r>
        <w:rPr>
          <w:rFonts w:hint="eastAsia" w:ascii="仿宋_GB2312" w:hAnsi="文星书宋" w:eastAsia="仿宋_GB2312"/>
          <w:color w:val="000000"/>
          <w:sz w:val="32"/>
          <w:szCs w:val="32"/>
        </w:rPr>
        <w:t>项。</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4.深化重点领域公开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文星书宋" w:eastAsia="仿宋_GB2312"/>
          <w:color w:val="000000"/>
          <w:sz w:val="32"/>
          <w:szCs w:val="32"/>
          <w:lang w:eastAsia="zh-CN"/>
        </w:rPr>
      </w:pPr>
      <w:r>
        <w:rPr>
          <w:rFonts w:hint="eastAsia" w:ascii="仿宋_GB2312" w:hAnsi="文星书宋" w:eastAsia="仿宋_GB2312"/>
          <w:color w:val="000000"/>
          <w:sz w:val="32"/>
          <w:szCs w:val="32"/>
        </w:rPr>
        <w:t>深化财政预决算信息公开。</w:t>
      </w:r>
      <w:r>
        <w:rPr>
          <w:rFonts w:hint="eastAsia" w:ascii="仿宋_GB2312" w:hAnsi="文星书宋" w:eastAsia="仿宋_GB2312"/>
          <w:color w:val="000000"/>
          <w:sz w:val="32"/>
          <w:szCs w:val="32"/>
          <w:lang w:val="en-US" w:eastAsia="zh-CN"/>
        </w:rPr>
        <w:t>设立</w:t>
      </w:r>
      <w:r>
        <w:rPr>
          <w:rFonts w:hint="eastAsia" w:ascii="仿宋_GB2312" w:hAnsi="文星书宋" w:eastAsia="仿宋_GB2312"/>
          <w:color w:val="000000"/>
          <w:sz w:val="32"/>
          <w:szCs w:val="32"/>
        </w:rPr>
        <w:t>统一的财政预决算平台，将20</w:t>
      </w:r>
      <w:r>
        <w:rPr>
          <w:rFonts w:hint="eastAsia" w:ascii="仿宋_GB2312" w:hAnsi="文星书宋" w:eastAsia="仿宋_GB2312"/>
          <w:color w:val="000000"/>
          <w:sz w:val="32"/>
          <w:szCs w:val="32"/>
          <w:lang w:val="en-US" w:eastAsia="zh-CN"/>
        </w:rPr>
        <w:t>20</w:t>
      </w:r>
      <w:r>
        <w:rPr>
          <w:rFonts w:hint="eastAsia" w:ascii="仿宋_GB2312" w:hAnsi="文星书宋" w:eastAsia="仿宋_GB2312"/>
          <w:color w:val="000000"/>
          <w:sz w:val="32"/>
          <w:szCs w:val="32"/>
        </w:rPr>
        <w:t>年政府预决算、部门预决算、重点项目绩效评价信息集中公开，方便群众查阅和监督。继续做好全区月度财政收支信息公开工作，定期解读财政收支增减变化情况及原因、预判财政收入走势，主动解释说明收支运行中可能引发社会关注的热点问题，引导社会各方面正确认识财政形势。及时公布区级政府债务种类、规模、结构和使用、偿还情况，维护群众知情权，防范政府债务风险。</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shd w:val="clear" w:color="auto" w:fill="FFFFFF"/>
          <w:lang w:eastAsia="zh-CN"/>
        </w:rPr>
      </w:pPr>
      <w:r>
        <w:rPr>
          <w:rFonts w:hint="eastAsia" w:ascii="仿宋_GB2312" w:hAnsi="文星书宋" w:eastAsia="仿宋_GB2312"/>
          <w:color w:val="000000"/>
          <w:sz w:val="32"/>
          <w:szCs w:val="32"/>
        </w:rPr>
        <w:t>深化行政执法信息公开。建设区级行政执法公示平台，全面推行行政执法公示制度，强化事前公开、规范事中公开、加强事后公开、</w:t>
      </w:r>
      <w:r>
        <w:rPr>
          <w:rFonts w:hint="eastAsia" w:ascii="仿宋_GB2312" w:eastAsia="仿宋_GB2312"/>
          <w:color w:val="000000"/>
          <w:sz w:val="32"/>
          <w:szCs w:val="32"/>
          <w:shd w:val="clear" w:color="auto" w:fill="FFFFFF"/>
        </w:rPr>
        <w:t>实现执法信息公开透明、执法全过程留痕、执法决定合法有效，切实推进严格规范公正文明执法，营造优质的行政执法环境。共发布行政执法公示信息</w:t>
      </w:r>
      <w:r>
        <w:rPr>
          <w:rFonts w:hint="eastAsia" w:ascii="仿宋_GB2312" w:eastAsia="仿宋_GB2312"/>
          <w:color w:val="000000"/>
          <w:sz w:val="32"/>
          <w:szCs w:val="32"/>
          <w:shd w:val="clear" w:color="auto" w:fill="FFFFFF"/>
          <w:lang w:val="en-US" w:eastAsia="zh-CN"/>
        </w:rPr>
        <w:t>205</w:t>
      </w:r>
      <w:r>
        <w:rPr>
          <w:rFonts w:hint="eastAsia" w:ascii="仿宋_GB2312" w:eastAsia="仿宋_GB2312"/>
          <w:color w:val="000000"/>
          <w:sz w:val="32"/>
          <w:szCs w:val="32"/>
          <w:shd w:val="clear" w:color="auto"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深化重大建设项目批准和实施领域信息公开。在区政府门户网站政府信息公开专栏集中公开了重大建设项目批准服务、批准结果信息、项目实施信息。共公开重大建设项目批准和实施领域信息</w:t>
      </w:r>
      <w:r>
        <w:rPr>
          <w:rFonts w:hint="eastAsia" w:ascii="仿宋_GB2312" w:eastAsia="仿宋_GB2312"/>
          <w:color w:val="000000"/>
          <w:sz w:val="32"/>
          <w:szCs w:val="32"/>
          <w:shd w:val="clear" w:color="auto" w:fill="FFFFFF"/>
          <w:lang w:val="en-US" w:eastAsia="zh-CN"/>
        </w:rPr>
        <w:t>40</w:t>
      </w:r>
      <w:r>
        <w:rPr>
          <w:rFonts w:hint="eastAsia" w:ascii="仿宋_GB2312" w:eastAsia="仿宋_GB2312"/>
          <w:color w:val="000000"/>
          <w:sz w:val="32"/>
          <w:szCs w:val="32"/>
          <w:shd w:val="clear" w:color="auto"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深化“三大攻坚战”任务信息公开。</w:t>
      </w:r>
      <w:r>
        <w:rPr>
          <w:rFonts w:hint="eastAsia" w:ascii="仿宋_GB2312" w:eastAsia="仿宋_GB2312"/>
          <w:color w:val="000000"/>
          <w:sz w:val="32"/>
          <w:szCs w:val="32"/>
          <w:shd w:val="clear" w:color="auto" w:fill="FFFFFF"/>
          <w:lang w:val="en-US" w:eastAsia="zh-CN"/>
        </w:rPr>
        <w:t>政务公开网站</w:t>
      </w:r>
      <w:r>
        <w:rPr>
          <w:rFonts w:hint="eastAsia" w:ascii="仿宋_GB2312" w:eastAsia="仿宋_GB2312"/>
          <w:color w:val="000000"/>
          <w:sz w:val="32"/>
          <w:szCs w:val="32"/>
          <w:shd w:val="clear" w:color="auto" w:fill="FFFFFF"/>
        </w:rPr>
        <w:t>设置“三大攻坚战”</w:t>
      </w:r>
      <w:r>
        <w:rPr>
          <w:rFonts w:hint="eastAsia" w:ascii="仿宋_GB2312" w:eastAsia="仿宋_GB2312"/>
          <w:color w:val="000000"/>
          <w:sz w:val="32"/>
          <w:szCs w:val="32"/>
          <w:shd w:val="clear" w:color="auto" w:fill="FFFFFF"/>
          <w:lang w:val="en-US" w:eastAsia="zh-CN"/>
        </w:rPr>
        <w:t>专栏</w:t>
      </w:r>
      <w:r>
        <w:rPr>
          <w:rFonts w:hint="eastAsia" w:ascii="仿宋_GB2312" w:eastAsia="仿宋_GB2312"/>
          <w:color w:val="000000"/>
          <w:sz w:val="32"/>
          <w:szCs w:val="32"/>
          <w:shd w:val="clear" w:color="auto" w:fill="FFFFFF"/>
        </w:rPr>
        <w:t>，集中展示</w:t>
      </w:r>
      <w:r>
        <w:rPr>
          <w:rFonts w:hint="eastAsia" w:ascii="仿宋_GB2312" w:eastAsia="仿宋_GB2312"/>
          <w:color w:val="000000"/>
          <w:sz w:val="32"/>
          <w:szCs w:val="32"/>
          <w:shd w:val="clear" w:color="auto" w:fill="FFFFFF"/>
          <w:lang w:val="en-US" w:eastAsia="zh-CN"/>
        </w:rPr>
        <w:t>市中</w:t>
      </w:r>
      <w:r>
        <w:rPr>
          <w:rFonts w:hint="eastAsia" w:ascii="仿宋_GB2312" w:eastAsia="仿宋_GB2312"/>
          <w:color w:val="000000"/>
          <w:sz w:val="32"/>
          <w:szCs w:val="32"/>
          <w:shd w:val="clear" w:color="auto" w:fill="FFFFFF"/>
        </w:rPr>
        <w:t>区在脱贫攻坚、污染防治、防范化解重大风险等方面的政策举措、进展成效。共公开“三大攻坚战”任务信息</w:t>
      </w:r>
      <w:r>
        <w:rPr>
          <w:rFonts w:hint="eastAsia" w:ascii="仿宋_GB2312" w:eastAsia="仿宋_GB2312"/>
          <w:color w:val="000000"/>
          <w:sz w:val="32"/>
          <w:szCs w:val="32"/>
          <w:shd w:val="clear" w:color="auto" w:fill="FFFFFF"/>
          <w:lang w:val="en-US" w:eastAsia="zh-CN"/>
        </w:rPr>
        <w:t>248</w:t>
      </w:r>
      <w:r>
        <w:rPr>
          <w:rFonts w:hint="eastAsia" w:ascii="仿宋_GB2312" w:eastAsia="仿宋_GB2312"/>
          <w:color w:val="000000"/>
          <w:sz w:val="32"/>
          <w:szCs w:val="32"/>
          <w:shd w:val="clear" w:color="auto" w:fill="FFFFFF"/>
        </w:rPr>
        <w:t>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eastAsia="仿宋_GB2312"/>
          <w:color w:val="000000"/>
          <w:sz w:val="32"/>
          <w:szCs w:val="32"/>
          <w:shd w:val="clear" w:color="auto" w:fill="FFFFFF"/>
          <w:lang w:eastAsia="zh-CN"/>
        </w:rPr>
      </w:pPr>
      <w:r>
        <w:rPr>
          <w:rFonts w:hint="eastAsia" w:ascii="仿宋_GB2312" w:eastAsia="仿宋_GB2312"/>
          <w:color w:val="000000"/>
          <w:sz w:val="32"/>
          <w:szCs w:val="32"/>
          <w:shd w:val="clear" w:color="auto" w:fill="FFFFFF"/>
        </w:rPr>
        <w:t>深化社会公益事业建设领域信息公开。根据国家</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省</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市有关要求</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在政府门户网站信息公开专栏设置社会救助、社会福利、就业和社会保障、教育等7个专题，集中发布社会公益事业建设领域政府信息。共发布信息700余条。</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深化公共监管信息公开。积极推进国资国企信息公开，每月公开区国资局履行出资人职责企业主要经济效益指标、主要行业盈利、重大变化事项等情况；及时发布市场监管领域产品质量监管、食品抽检情况和违法行为处罚信息；加大建筑市场不良行为信息和行政处罚信息公开力度，主动公开执法检查信息、不良信用记录、黑名单记录等信息。公共监管领域共发布信息</w:t>
      </w:r>
      <w:r>
        <w:rPr>
          <w:rFonts w:hint="eastAsia" w:ascii="仿宋_GB2312" w:eastAsia="仿宋_GB2312"/>
          <w:color w:val="000000"/>
          <w:sz w:val="32"/>
          <w:szCs w:val="32"/>
          <w:shd w:val="clear" w:color="auto" w:fill="FFFFFF"/>
          <w:lang w:val="en-US" w:eastAsia="zh-CN"/>
        </w:rPr>
        <w:t>42</w:t>
      </w:r>
      <w:r>
        <w:rPr>
          <w:rFonts w:hint="eastAsia" w:ascii="仿宋_GB2312" w:eastAsia="仿宋_GB2312"/>
          <w:color w:val="000000"/>
          <w:sz w:val="32"/>
          <w:szCs w:val="32"/>
          <w:shd w:val="clear" w:color="auto" w:fill="FFFFFF"/>
        </w:rPr>
        <w:t xml:space="preserve">条。 </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仿宋_GB2312" w:hAnsi="文星书宋" w:eastAsia="仿宋_GB2312"/>
          <w:b/>
          <w:color w:val="000000"/>
          <w:sz w:val="32"/>
          <w:szCs w:val="32"/>
        </w:rPr>
      </w:pPr>
      <w:r>
        <w:rPr>
          <w:rFonts w:hint="eastAsia" w:ascii="仿宋_GB2312" w:hAnsi="文星书宋" w:eastAsia="仿宋_GB2312"/>
          <w:b/>
          <w:color w:val="000000"/>
          <w:sz w:val="32"/>
          <w:szCs w:val="32"/>
        </w:rPr>
        <w:t>5. 推进公共企事业单位信息公开</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文星书宋" w:eastAsia="仿宋_GB2312"/>
          <w:color w:val="000000"/>
          <w:sz w:val="32"/>
          <w:szCs w:val="32"/>
          <w:lang w:eastAsia="zh-CN"/>
        </w:rPr>
      </w:pPr>
      <w:r>
        <w:rPr>
          <w:rFonts w:hint="eastAsia" w:ascii="仿宋_GB2312" w:eastAsia="仿宋_GB2312"/>
          <w:color w:val="000000"/>
          <w:sz w:val="32"/>
          <w:szCs w:val="32"/>
          <w:shd w:val="clear" w:color="auto" w:fill="FFFFFF"/>
        </w:rPr>
        <w:t>根据国家</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省</w:t>
      </w:r>
      <w:r>
        <w:rPr>
          <w:rFonts w:hint="eastAsia" w:ascii="仿宋_GB2312" w:eastAsia="仿宋_GB2312"/>
          <w:color w:val="000000"/>
          <w:sz w:val="32"/>
          <w:szCs w:val="32"/>
          <w:shd w:val="clear" w:color="auto" w:fill="FFFFFF"/>
          <w:lang w:eastAsia="zh-CN"/>
        </w:rPr>
        <w:t>、</w:t>
      </w:r>
      <w:r>
        <w:rPr>
          <w:rFonts w:hint="eastAsia" w:ascii="仿宋_GB2312" w:eastAsia="仿宋_GB2312"/>
          <w:color w:val="000000"/>
          <w:sz w:val="32"/>
          <w:szCs w:val="32"/>
          <w:shd w:val="clear" w:color="auto" w:fill="FFFFFF"/>
        </w:rPr>
        <w:t>市关于公共企事业单位信息公开要求及行业特点，</w:t>
      </w:r>
      <w:r>
        <w:rPr>
          <w:rFonts w:hint="eastAsia" w:ascii="仿宋_GB2312" w:eastAsia="仿宋_GB2312"/>
          <w:color w:val="000000"/>
          <w:sz w:val="32"/>
          <w:szCs w:val="32"/>
          <w:shd w:val="clear" w:color="auto" w:fill="FFFFFF"/>
          <w:lang w:val="en-US" w:eastAsia="zh-CN"/>
        </w:rPr>
        <w:t>新</w:t>
      </w:r>
      <w:r>
        <w:rPr>
          <w:rFonts w:hint="eastAsia" w:ascii="仿宋_GB2312" w:eastAsia="仿宋_GB2312"/>
          <w:color w:val="000000"/>
          <w:sz w:val="32"/>
          <w:szCs w:val="32"/>
          <w:shd w:val="clear" w:color="auto" w:fill="FFFFFF"/>
        </w:rPr>
        <w:t>设置了</w:t>
      </w:r>
      <w:r>
        <w:rPr>
          <w:rFonts w:hint="eastAsia" w:ascii="仿宋_GB2312" w:eastAsia="仿宋_GB2312"/>
          <w:color w:val="000000"/>
          <w:sz w:val="32"/>
          <w:szCs w:val="32"/>
          <w:shd w:val="clear" w:color="auto" w:fill="FFFFFF"/>
          <w:lang w:val="en-US" w:eastAsia="zh-CN"/>
        </w:rPr>
        <w:t>市中</w:t>
      </w:r>
      <w:r>
        <w:rPr>
          <w:rFonts w:hint="eastAsia" w:ascii="仿宋_GB2312" w:eastAsia="仿宋_GB2312"/>
          <w:color w:val="000000"/>
          <w:sz w:val="32"/>
          <w:szCs w:val="32"/>
          <w:shd w:val="clear" w:color="auto" w:fill="FFFFFF"/>
        </w:rPr>
        <w:t>区公共企事业单位信息公开平台，重点公开义务教育学校、医疗机构、水电气热单位、国有企业等企事业单位的基本信息和重点信息。</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（二）依申请公开工作情况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lang w:val="en-US" w:eastAsia="zh-CN"/>
        </w:rPr>
        <w:t>市中</w:t>
      </w:r>
      <w:r>
        <w:rPr>
          <w:rFonts w:hint="eastAsia" w:ascii="仿宋_GB2312" w:hAnsi="文星书宋" w:eastAsia="仿宋_GB2312"/>
          <w:color w:val="000000"/>
          <w:sz w:val="32"/>
          <w:szCs w:val="32"/>
        </w:rPr>
        <w:t>区高度重视依申请公开工作，不断创新工作机制，开展依申请公开业务轮训工作，落实政府信息公开申请登记、审核、办理、答复、归档等工作制度，提高依申请公开办件的合法性与规范性。</w:t>
      </w:r>
      <w:r>
        <w:rPr>
          <w:rFonts w:hint="eastAsia" w:ascii="仿宋_GB2312" w:hAnsi="文星书宋" w:eastAsia="仿宋_GB2312"/>
          <w:color w:val="000000"/>
          <w:sz w:val="32"/>
          <w:szCs w:val="32"/>
          <w:lang w:val="en-US" w:eastAsia="zh-CN"/>
        </w:rPr>
        <w:t>全</w:t>
      </w:r>
      <w:r>
        <w:rPr>
          <w:rFonts w:hint="eastAsia" w:ascii="仿宋_GB2312" w:hAnsi="文星书宋" w:eastAsia="仿宋_GB2312"/>
          <w:color w:val="000000"/>
          <w:sz w:val="32"/>
          <w:szCs w:val="32"/>
        </w:rPr>
        <w:t>区各级各单位各部门共收到信息公开申请</w:t>
      </w:r>
      <w:r>
        <w:rPr>
          <w:rFonts w:hint="eastAsia" w:ascii="仿宋_GB2312" w:hAnsi="文星书宋" w:eastAsia="仿宋_GB2312"/>
          <w:color w:val="000000"/>
          <w:sz w:val="32"/>
          <w:szCs w:val="32"/>
          <w:lang w:val="en-US" w:eastAsia="zh-CN"/>
        </w:rPr>
        <w:t>77</w:t>
      </w:r>
      <w:r>
        <w:rPr>
          <w:rFonts w:hint="eastAsia" w:ascii="仿宋_GB2312" w:hAnsi="文星书宋" w:eastAsia="仿宋_GB2312"/>
          <w:color w:val="000000"/>
          <w:sz w:val="32"/>
          <w:szCs w:val="32"/>
        </w:rPr>
        <w:t>件（</w:t>
      </w:r>
      <w:r>
        <w:rPr>
          <w:rFonts w:hint="eastAsia" w:ascii="仿宋_GB2312" w:hAnsi="文星书宋" w:eastAsia="仿宋_GB2312"/>
          <w:color w:val="000000"/>
          <w:sz w:val="32"/>
          <w:szCs w:val="32"/>
          <w:lang w:val="en-US" w:eastAsia="zh-CN"/>
        </w:rPr>
        <w:t>2</w:t>
      </w:r>
      <w:r>
        <w:rPr>
          <w:rFonts w:hint="eastAsia" w:ascii="仿宋_GB2312" w:hAnsi="文星书宋" w:eastAsia="仿宋_GB2312"/>
          <w:color w:val="000000"/>
          <w:sz w:val="32"/>
          <w:szCs w:val="32"/>
        </w:rPr>
        <w:t>件申请按照《条例》规定顺延至202</w:t>
      </w:r>
      <w:r>
        <w:rPr>
          <w:rFonts w:hint="eastAsia" w:ascii="仿宋_GB2312" w:hAnsi="文星书宋" w:eastAsia="仿宋_GB2312"/>
          <w:color w:val="000000"/>
          <w:sz w:val="32"/>
          <w:szCs w:val="32"/>
          <w:lang w:val="en-US" w:eastAsia="zh-CN"/>
        </w:rPr>
        <w:t>1</w:t>
      </w:r>
      <w:r>
        <w:rPr>
          <w:rFonts w:hint="eastAsia" w:ascii="仿宋_GB2312" w:hAnsi="文星书宋" w:eastAsia="仿宋_GB2312"/>
          <w:color w:val="000000"/>
          <w:sz w:val="32"/>
          <w:szCs w:val="32"/>
        </w:rPr>
        <w:t>年答复），均按时答复。其中予以公开</w:t>
      </w:r>
      <w:r>
        <w:rPr>
          <w:rFonts w:hint="eastAsia" w:ascii="仿宋_GB2312" w:hAnsi="文星书宋" w:eastAsia="仿宋_GB2312"/>
          <w:color w:val="000000"/>
          <w:sz w:val="32"/>
          <w:szCs w:val="32"/>
          <w:lang w:val="en-US" w:eastAsia="zh-CN"/>
        </w:rPr>
        <w:t>27</w:t>
      </w:r>
      <w:r>
        <w:rPr>
          <w:rFonts w:hint="eastAsia" w:ascii="仿宋_GB2312" w:hAnsi="文星书宋" w:eastAsia="仿宋_GB2312"/>
          <w:color w:val="000000"/>
          <w:sz w:val="32"/>
          <w:szCs w:val="32"/>
        </w:rPr>
        <w:t>件，部分公开</w:t>
      </w:r>
      <w:r>
        <w:rPr>
          <w:rFonts w:hint="eastAsia" w:ascii="仿宋_GB2312" w:hAnsi="文星书宋" w:eastAsia="仿宋_GB2312"/>
          <w:color w:val="000000"/>
          <w:sz w:val="32"/>
          <w:szCs w:val="32"/>
          <w:lang w:val="en-US" w:eastAsia="zh-CN"/>
        </w:rPr>
        <w:t>22</w:t>
      </w:r>
      <w:r>
        <w:rPr>
          <w:rFonts w:hint="eastAsia" w:ascii="仿宋_GB2312" w:hAnsi="文星书宋" w:eastAsia="仿宋_GB2312"/>
          <w:color w:val="000000"/>
          <w:sz w:val="32"/>
          <w:szCs w:val="32"/>
        </w:rPr>
        <w:t>件，不予公开</w:t>
      </w:r>
      <w:r>
        <w:rPr>
          <w:rFonts w:hint="eastAsia" w:ascii="仿宋_GB2312" w:hAnsi="文星书宋" w:eastAsia="仿宋_GB2312"/>
          <w:color w:val="000000"/>
          <w:sz w:val="32"/>
          <w:szCs w:val="32"/>
          <w:lang w:val="en-US" w:eastAsia="zh-CN"/>
        </w:rPr>
        <w:t>2</w:t>
      </w:r>
      <w:r>
        <w:rPr>
          <w:rFonts w:hint="eastAsia" w:ascii="仿宋_GB2312" w:hAnsi="文星书宋" w:eastAsia="仿宋_GB2312"/>
          <w:color w:val="000000"/>
          <w:sz w:val="32"/>
          <w:szCs w:val="32"/>
        </w:rPr>
        <w:t>件，</w:t>
      </w:r>
      <w:r>
        <w:rPr>
          <w:rFonts w:hint="eastAsia" w:ascii="仿宋_GB2312" w:hAnsi="文星书宋" w:eastAsia="仿宋_GB2312"/>
          <w:color w:val="000000"/>
          <w:sz w:val="32"/>
          <w:szCs w:val="32"/>
          <w:lang w:val="en-US" w:eastAsia="zh-CN"/>
        </w:rPr>
        <w:t>无法提供21件，</w:t>
      </w:r>
      <w:r>
        <w:rPr>
          <w:rFonts w:hint="eastAsia" w:ascii="仿宋_GB2312" w:hAnsi="文星书宋" w:eastAsia="仿宋_GB2312"/>
          <w:color w:val="000000"/>
          <w:sz w:val="32"/>
          <w:szCs w:val="32"/>
        </w:rPr>
        <w:t>不予处理0件</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lang w:val="en-US" w:eastAsia="zh-CN"/>
        </w:rPr>
        <w:t>其他处理3件。</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1.严把信息发布质量关。</w:t>
      </w:r>
      <w:r>
        <w:rPr>
          <w:rFonts w:hint="eastAsia" w:ascii="仿宋_GB2312" w:hAnsi="文星书宋" w:eastAsia="仿宋_GB2312"/>
          <w:color w:val="000000"/>
          <w:sz w:val="32"/>
          <w:szCs w:val="32"/>
        </w:rPr>
        <w:t>严格落实《关于政府信息公开属性源头认定制度的通知》，完善政府公文的公开属性源头认定和发布审查工作机制，在拟制公文时必须明确公开属性、公开时间和方式等，随公文一并报批。坚持应公开尽公开原则，严格审查把关，对拟不</w:t>
      </w:r>
      <w:r>
        <w:rPr>
          <w:rFonts w:hint="eastAsia" w:ascii="仿宋_GB2312" w:hAnsi="文星书宋" w:eastAsia="仿宋_GB2312"/>
          <w:color w:val="000000"/>
          <w:sz w:val="32"/>
          <w:szCs w:val="32"/>
          <w:lang w:val="en-US" w:eastAsia="zh-CN"/>
        </w:rPr>
        <w:t>予</w:t>
      </w:r>
      <w:r>
        <w:rPr>
          <w:rFonts w:hint="eastAsia" w:ascii="仿宋_GB2312" w:hAnsi="文星书宋" w:eastAsia="仿宋_GB2312"/>
          <w:color w:val="000000"/>
          <w:sz w:val="32"/>
          <w:szCs w:val="32"/>
        </w:rPr>
        <w:t>公开的，依法依规说明理由，不断提升政府公文的公开比例。</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2.全面推进基层政务公开标准化规范化工作。</w:t>
      </w:r>
      <w:r>
        <w:rPr>
          <w:rFonts w:hint="eastAsia" w:ascii="仿宋_GB2312" w:hAnsi="文星书宋" w:eastAsia="仿宋_GB2312"/>
          <w:color w:val="000000"/>
          <w:sz w:val="32"/>
          <w:szCs w:val="32"/>
        </w:rPr>
        <w:t>不断扩大基层政务公开标准化规范化工作的覆盖范围，</w:t>
      </w:r>
      <w:r>
        <w:rPr>
          <w:rFonts w:hint="eastAsia" w:ascii="仿宋_GB2312" w:hAnsi="文星书宋" w:eastAsia="仿宋_GB2312"/>
          <w:color w:val="000000"/>
          <w:sz w:val="32"/>
          <w:szCs w:val="32"/>
          <w:lang w:val="en-US" w:eastAsia="zh-CN"/>
        </w:rPr>
        <w:t>编制完成</w:t>
      </w:r>
      <w:r>
        <w:rPr>
          <w:rFonts w:hint="eastAsia" w:ascii="仿宋_GB2312" w:hAnsi="文星书宋" w:eastAsia="仿宋_GB2312"/>
          <w:color w:val="000000"/>
          <w:sz w:val="32"/>
          <w:szCs w:val="32"/>
        </w:rPr>
        <w:t>2</w:t>
      </w:r>
      <w:r>
        <w:rPr>
          <w:rFonts w:hint="eastAsia" w:ascii="仿宋_GB2312" w:hAnsi="文星书宋" w:eastAsia="仿宋_GB2312"/>
          <w:color w:val="000000"/>
          <w:sz w:val="32"/>
          <w:szCs w:val="32"/>
          <w:lang w:val="en-US" w:eastAsia="zh-CN"/>
        </w:rPr>
        <w:t>6</w:t>
      </w:r>
      <w:r>
        <w:rPr>
          <w:rFonts w:hint="eastAsia" w:ascii="仿宋_GB2312" w:hAnsi="文星书宋" w:eastAsia="仿宋_GB2312"/>
          <w:color w:val="000000"/>
          <w:sz w:val="32"/>
          <w:szCs w:val="32"/>
        </w:rPr>
        <w:t>个重点领域政务公开标准事项目录，明确公开内容、公开依据、公开时限、公开主体、公开渠道，并与</w:t>
      </w:r>
      <w:r>
        <w:rPr>
          <w:rFonts w:hint="eastAsia" w:ascii="仿宋_GB2312" w:hAnsi="文星书宋" w:eastAsia="仿宋_GB2312"/>
          <w:color w:val="000000"/>
          <w:sz w:val="32"/>
          <w:szCs w:val="32"/>
          <w:lang w:val="en-US" w:eastAsia="zh-CN"/>
        </w:rPr>
        <w:t>各</w:t>
      </w:r>
      <w:r>
        <w:rPr>
          <w:rFonts w:hint="eastAsia" w:ascii="仿宋_GB2312" w:hAnsi="文星书宋" w:eastAsia="仿宋_GB2312"/>
          <w:color w:val="000000"/>
          <w:sz w:val="32"/>
          <w:szCs w:val="32"/>
        </w:rPr>
        <w:t>单位主动公开基本目录相结合，做到同步谋划、同步推进、同步落实。</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（四）平台建设情况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1.升级改版信息公开专栏。</w:t>
      </w:r>
      <w:r>
        <w:rPr>
          <w:rFonts w:hint="eastAsia" w:ascii="仿宋_GB2312" w:hAnsi="文星书宋" w:eastAsia="仿宋_GB2312"/>
          <w:color w:val="000000"/>
          <w:sz w:val="32"/>
          <w:szCs w:val="32"/>
        </w:rPr>
        <w:t>按照</w:t>
      </w:r>
      <w:r>
        <w:rPr>
          <w:rFonts w:hint="eastAsia" w:ascii="仿宋_GB2312" w:hAnsi="文星书宋" w:eastAsia="仿宋_GB2312"/>
          <w:color w:val="000000"/>
          <w:sz w:val="32"/>
          <w:szCs w:val="32"/>
          <w:lang w:val="en-US" w:eastAsia="zh-CN"/>
        </w:rPr>
        <w:t>省、市要求，于6月份</w:t>
      </w:r>
      <w:r>
        <w:rPr>
          <w:rFonts w:hint="eastAsia" w:ascii="仿宋_GB2312" w:hAnsi="文星书宋" w:eastAsia="仿宋_GB2312"/>
          <w:color w:val="000000"/>
          <w:sz w:val="32"/>
          <w:szCs w:val="32"/>
        </w:rPr>
        <w:t>对区政府门户网站</w:t>
      </w:r>
      <w:r>
        <w:rPr>
          <w:rFonts w:hint="eastAsia" w:ascii="仿宋_GB2312" w:hAnsi="文星书宋" w:eastAsia="仿宋_GB2312"/>
          <w:color w:val="000000"/>
          <w:sz w:val="32"/>
          <w:szCs w:val="32"/>
          <w:lang w:val="en-US" w:eastAsia="zh-CN"/>
        </w:rPr>
        <w:t>进行了集约迁移，并对</w:t>
      </w:r>
      <w:r>
        <w:rPr>
          <w:rFonts w:hint="eastAsia" w:ascii="仿宋_GB2312" w:hAnsi="文星书宋" w:eastAsia="仿宋_GB2312"/>
          <w:color w:val="000000"/>
          <w:sz w:val="32"/>
          <w:szCs w:val="32"/>
        </w:rPr>
        <w:t>信息公开专栏进行升级改版。新开设</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lang w:val="en-US" w:eastAsia="zh-CN"/>
        </w:rPr>
        <w:t>双随机、一公开</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“行政执法信息公开”“</w:t>
      </w:r>
      <w:r>
        <w:rPr>
          <w:rFonts w:hint="eastAsia" w:ascii="仿宋_GB2312" w:hAnsi="文星书宋" w:eastAsia="仿宋_GB2312"/>
          <w:color w:val="000000"/>
          <w:sz w:val="32"/>
          <w:szCs w:val="32"/>
          <w:lang w:val="en-US" w:eastAsia="zh-CN"/>
        </w:rPr>
        <w:t>公共企事业单位</w:t>
      </w:r>
      <w:r>
        <w:rPr>
          <w:rFonts w:hint="eastAsia" w:ascii="仿宋_GB2312" w:hAnsi="文星书宋" w:eastAsia="仿宋_GB2312"/>
          <w:color w:val="000000"/>
          <w:sz w:val="32"/>
          <w:szCs w:val="32"/>
        </w:rPr>
        <w:t>”“社会信用体系信息公开”</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lang w:val="en-US" w:eastAsia="zh-CN"/>
        </w:rPr>
        <w:t>财政预决算</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等14个政府信息发布平台，为群众提供集约化、链条式的政府信息展示渠道</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全面提升信息公开专栏的集约化、智能化、专业化水平，打造集信息发布、政策解读、办事服务、互动交流于一体的政务公开新平台。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2.畅通政民互动渠道。</w:t>
      </w:r>
      <w:r>
        <w:rPr>
          <w:rFonts w:hint="eastAsia" w:ascii="仿宋_GB2312" w:hAnsi="文星书宋" w:eastAsia="仿宋_GB2312"/>
          <w:color w:val="000000"/>
          <w:sz w:val="32"/>
          <w:szCs w:val="32"/>
          <w:lang w:val="en-US" w:eastAsia="zh-CN"/>
        </w:rPr>
        <w:t>充分利用市中</w:t>
      </w:r>
      <w:r>
        <w:rPr>
          <w:rFonts w:hint="eastAsia" w:ascii="仿宋_GB2312" w:hAnsi="文星书宋" w:eastAsia="仿宋_GB2312"/>
          <w:color w:val="000000"/>
          <w:sz w:val="32"/>
          <w:szCs w:val="32"/>
        </w:rPr>
        <w:t>区互动交流平台，建立健全公众留言、部门处理、留言反馈一体化工作机制和流程，实现政民互动全流程公开。积极开展政府开放日活动，让群众零距离感受政务工作，推进阳光、透明、开放、服务型政府建设。</w:t>
      </w:r>
    </w:p>
    <w:p>
      <w:pPr>
        <w:keepNext w:val="0"/>
        <w:keepLines w:val="0"/>
        <w:pageBreakBefore w:val="0"/>
        <w:widowControl w:val="0"/>
        <w:kinsoku/>
        <w:wordWrap/>
        <w:overflowPunct/>
        <w:topLinePunct w:val="0"/>
        <w:autoSpaceDE/>
        <w:autoSpaceDN/>
        <w:bidi w:val="0"/>
        <w:adjustRightInd/>
        <w:snapToGrid/>
        <w:spacing w:line="560" w:lineRule="exact"/>
        <w:ind w:left="638" w:leftChars="304"/>
        <w:textAlignment w:val="auto"/>
        <w:rPr>
          <w:rFonts w:ascii="楷体_GB2312" w:hAnsi="文星书宋" w:eastAsia="楷体_GB2312"/>
          <w:color w:val="000000"/>
          <w:sz w:val="32"/>
          <w:szCs w:val="32"/>
        </w:rPr>
      </w:pPr>
      <w:r>
        <w:rPr>
          <w:rFonts w:hint="eastAsia" w:ascii="楷体_GB2312" w:hAnsi="文星书宋" w:eastAsia="楷体_GB2312"/>
          <w:color w:val="000000"/>
          <w:sz w:val="32"/>
          <w:szCs w:val="32"/>
        </w:rPr>
        <w:t>（五）监督保障情况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1.加强组织领导。</w:t>
      </w:r>
      <w:r>
        <w:rPr>
          <w:rFonts w:hint="eastAsia" w:ascii="仿宋_GB2312" w:eastAsia="仿宋_GB2312" w:hAnsiTheme="minorHAnsi" w:cstheme="minorBidi"/>
          <w:sz w:val="32"/>
          <w:szCs w:val="32"/>
        </w:rPr>
        <w:t>建立健全由区政府主要领导定期调度，区政府常务副区长挂帅，区政府办公室主任亲自抓，有关科室、部门具体落实的工作机制。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color w:val="000000"/>
          <w:sz w:val="32"/>
          <w:szCs w:val="32"/>
        </w:rPr>
        <w:t>2.抓好业务培训。</w:t>
      </w:r>
      <w:r>
        <w:rPr>
          <w:rFonts w:hint="eastAsia" w:ascii="仿宋_GB2312" w:hAnsi="楷体_GB2312" w:eastAsia="仿宋_GB2312" w:cs="楷体_GB2312"/>
          <w:kern w:val="0"/>
          <w:sz w:val="32"/>
          <w:szCs w:val="32"/>
        </w:rPr>
        <w:t>运用集中培训、专题培训等多种方式在政策法规、平台运用、经验做法、经典案例等多个方面进行学习交流，</w:t>
      </w:r>
      <w:r>
        <w:rPr>
          <w:rFonts w:hint="eastAsia" w:ascii="仿宋_GB2312" w:hAnsi="文星书宋" w:eastAsia="仿宋_GB2312"/>
          <w:color w:val="000000"/>
          <w:sz w:val="32"/>
          <w:szCs w:val="32"/>
        </w:rPr>
        <w:t>提升全体人员的公开意识和工作水平，全面提高公开便民服务能力。举办集中培训2次、专题培训</w:t>
      </w:r>
      <w:r>
        <w:rPr>
          <w:rFonts w:hint="eastAsia" w:ascii="仿宋_GB2312" w:hAnsi="文星书宋" w:eastAsia="仿宋_GB2312"/>
          <w:color w:val="000000"/>
          <w:sz w:val="32"/>
          <w:szCs w:val="32"/>
          <w:lang w:val="en-US" w:eastAsia="zh-CN"/>
        </w:rPr>
        <w:t>4</w:t>
      </w:r>
      <w:r>
        <w:rPr>
          <w:rFonts w:hint="eastAsia" w:ascii="仿宋_GB2312" w:hAnsi="文星书宋" w:eastAsia="仿宋_GB2312"/>
          <w:color w:val="000000"/>
          <w:sz w:val="32"/>
          <w:szCs w:val="32"/>
        </w:rPr>
        <w:t>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color w:val="000000"/>
          <w:sz w:val="32"/>
          <w:szCs w:val="32"/>
        </w:rPr>
        <w:t>3.强化督促指导。</w:t>
      </w:r>
      <w:r>
        <w:rPr>
          <w:rFonts w:hint="eastAsia" w:ascii="仿宋_GB2312" w:hAnsi="文星书宋" w:eastAsia="仿宋_GB2312"/>
          <w:color w:val="000000"/>
          <w:sz w:val="32"/>
          <w:szCs w:val="32"/>
        </w:rPr>
        <w:t>针对省</w:t>
      </w:r>
      <w:r>
        <w:rPr>
          <w:rFonts w:hint="eastAsia" w:ascii="仿宋_GB2312" w:hAnsi="文星书宋" w:eastAsia="仿宋_GB2312"/>
          <w:color w:val="000000"/>
          <w:sz w:val="32"/>
          <w:szCs w:val="32"/>
          <w:lang w:eastAsia="zh-CN"/>
        </w:rPr>
        <w:t>、</w:t>
      </w:r>
      <w:r>
        <w:rPr>
          <w:rFonts w:hint="eastAsia" w:ascii="仿宋_GB2312" w:hAnsi="文星书宋" w:eastAsia="仿宋_GB2312"/>
          <w:color w:val="000000"/>
          <w:sz w:val="32"/>
          <w:szCs w:val="32"/>
        </w:rPr>
        <w:t>市政务公开第三方评估中发现的问题，逐一落实责任单位，限期对照整改，充分发挥考核评估“照镜子”的作用，推进全区政务公开工作水平整体提升。</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二、主动公开政府信息情况</w:t>
      </w:r>
    </w:p>
    <w:tbl>
      <w:tblPr>
        <w:tblStyle w:val="5"/>
        <w:tblW w:w="9129" w:type="dxa"/>
        <w:jc w:val="center"/>
        <w:tblInd w:w="-476" w:type="dxa"/>
        <w:tblLayout w:type="fixed"/>
        <w:tblCellMar>
          <w:top w:w="0" w:type="dxa"/>
          <w:left w:w="0" w:type="dxa"/>
          <w:bottom w:w="0" w:type="dxa"/>
          <w:right w:w="0" w:type="dxa"/>
        </w:tblCellMar>
      </w:tblPr>
      <w:tblGrid>
        <w:gridCol w:w="3589"/>
        <w:gridCol w:w="1875"/>
        <w:gridCol w:w="6"/>
        <w:gridCol w:w="1265"/>
        <w:gridCol w:w="2394"/>
      </w:tblGrid>
      <w:tr>
        <w:tblPrEx>
          <w:tblLayout w:type="fixed"/>
          <w:tblCellMar>
            <w:top w:w="0" w:type="dxa"/>
            <w:left w:w="0" w:type="dxa"/>
            <w:bottom w:w="0" w:type="dxa"/>
            <w:right w:w="0" w:type="dxa"/>
          </w:tblCellMar>
        </w:tblPrEx>
        <w:trPr>
          <w:trHeight w:val="495" w:hRule="atLeast"/>
          <w:jc w:val="center"/>
        </w:trPr>
        <w:tc>
          <w:tcPr>
            <w:tcW w:w="9129"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523"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0"/>
                <w:szCs w:val="20"/>
              </w:rPr>
              <w:t>规章</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省级</w:t>
            </w:r>
            <w:r>
              <w:rPr>
                <w:rFonts w:hint="eastAsia" w:ascii="宋体" w:hAnsi="宋体" w:cs="宋体"/>
                <w:color w:val="000000"/>
                <w:kern w:val="0"/>
                <w:sz w:val="20"/>
                <w:szCs w:val="20"/>
                <w:lang w:eastAsia="zh-CN"/>
              </w:rPr>
              <w:t>）</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tblPrEx>
          <w:tblLayout w:type="fixed"/>
          <w:tblCellMar>
            <w:top w:w="0" w:type="dxa"/>
            <w:left w:w="0" w:type="dxa"/>
            <w:bottom w:w="0" w:type="dxa"/>
            <w:right w:w="0" w:type="dxa"/>
          </w:tblCellMar>
        </w:tblPrEx>
        <w:trPr>
          <w:trHeight w:val="471"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w:t>
            </w:r>
            <w:r>
              <w:rPr>
                <w:rFonts w:hint="eastAsia" w:ascii="宋体" w:hAnsi="宋体" w:eastAsia="宋体" w:cs="宋体"/>
                <w:color w:val="000000"/>
                <w:kern w:val="0"/>
                <w:sz w:val="20"/>
                <w:szCs w:val="20"/>
              </w:rPr>
              <w:t>　</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8</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29</w:t>
            </w:r>
          </w:p>
        </w:tc>
      </w:tr>
      <w:tr>
        <w:tblPrEx>
          <w:tblLayout w:type="fixed"/>
          <w:tblCellMar>
            <w:top w:w="0" w:type="dxa"/>
            <w:left w:w="0" w:type="dxa"/>
            <w:bottom w:w="0" w:type="dxa"/>
            <w:right w:w="0" w:type="dxa"/>
          </w:tblCellMar>
        </w:tblPrEx>
        <w:trPr>
          <w:trHeight w:val="480"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223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+13</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24782</w:t>
            </w:r>
          </w:p>
        </w:tc>
      </w:tr>
      <w:tr>
        <w:tblPrEx>
          <w:tblLayout w:type="fixed"/>
          <w:tblCellMar>
            <w:top w:w="0" w:type="dxa"/>
            <w:left w:w="0" w:type="dxa"/>
            <w:bottom w:w="0" w:type="dxa"/>
            <w:right w:w="0" w:type="dxa"/>
          </w:tblCellMar>
        </w:tblPrEx>
        <w:trPr>
          <w:trHeight w:val="550"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549</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+748</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5006</w:t>
            </w:r>
          </w:p>
        </w:tc>
      </w:tr>
      <w:tr>
        <w:tblPrEx>
          <w:tblLayout w:type="fixed"/>
          <w:tblCellMar>
            <w:top w:w="0" w:type="dxa"/>
            <w:left w:w="0" w:type="dxa"/>
            <w:bottom w:w="0" w:type="dxa"/>
            <w:right w:w="0" w:type="dxa"/>
          </w:tblCellMar>
        </w:tblPrEx>
        <w:trPr>
          <w:trHeight w:val="406"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2891</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-124</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0"/>
                <w:szCs w:val="20"/>
                <w:lang w:val="en-US" w:eastAsia="zh-CN"/>
              </w:rPr>
              <w:t>21654</w:t>
            </w:r>
          </w:p>
        </w:tc>
      </w:tr>
      <w:tr>
        <w:tblPrEx>
          <w:tblLayout w:type="fixed"/>
          <w:tblCellMar>
            <w:top w:w="0" w:type="dxa"/>
            <w:left w:w="0" w:type="dxa"/>
            <w:bottom w:w="0" w:type="dxa"/>
            <w:right w:w="0" w:type="dxa"/>
          </w:tblCellMar>
        </w:tblPrEx>
        <w:trPr>
          <w:trHeight w:val="409"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128</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w:t>
            </w:r>
          </w:p>
        </w:tc>
        <w:tc>
          <w:tcPr>
            <w:tcW w:w="23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color w:val="000000"/>
                <w:kern w:val="0"/>
                <w:sz w:val="20"/>
                <w:szCs w:val="20"/>
                <w:lang w:val="en-US" w:eastAsia="zh-CN"/>
              </w:rPr>
              <w:t>329</w:t>
            </w:r>
          </w:p>
        </w:tc>
      </w:tr>
      <w:tr>
        <w:tblPrEx>
          <w:tblLayout w:type="fixed"/>
          <w:tblCellMar>
            <w:top w:w="0" w:type="dxa"/>
            <w:left w:w="0" w:type="dxa"/>
            <w:bottom w:w="0" w:type="dxa"/>
            <w:right w:w="0" w:type="dxa"/>
          </w:tblCellMar>
        </w:tblPrEx>
        <w:trPr>
          <w:trHeight w:val="474"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65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Layout w:type="fixed"/>
          <w:tblCellMar>
            <w:top w:w="0" w:type="dxa"/>
            <w:left w:w="0" w:type="dxa"/>
            <w:bottom w:w="0" w:type="dxa"/>
            <w:right w:w="0" w:type="dxa"/>
          </w:tblCellMar>
        </w:tblPrEx>
        <w:trPr>
          <w:trHeight w:val="551"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32</w:t>
            </w:r>
          </w:p>
        </w:tc>
        <w:tc>
          <w:tcPr>
            <w:tcW w:w="365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 </w:t>
            </w:r>
          </w:p>
        </w:tc>
      </w:tr>
      <w:tr>
        <w:tblPrEx>
          <w:tblLayout w:type="fixed"/>
          <w:tblCellMar>
            <w:top w:w="0" w:type="dxa"/>
            <w:left w:w="0" w:type="dxa"/>
            <w:bottom w:w="0" w:type="dxa"/>
            <w:right w:w="0" w:type="dxa"/>
          </w:tblCellMar>
        </w:tblPrEx>
        <w:trPr>
          <w:trHeight w:val="476" w:hRule="atLeast"/>
          <w:jc w:val="center"/>
        </w:trPr>
        <w:tc>
          <w:tcPr>
            <w:tcW w:w="9129"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659"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589"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71</w:t>
            </w:r>
          </w:p>
        </w:tc>
        <w:tc>
          <w:tcPr>
            <w:tcW w:w="3659"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7209.00万元</w:t>
            </w:r>
          </w:p>
        </w:tc>
      </w:tr>
    </w:tbl>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Ind w:w="0" w:type="dxa"/>
        <w:tblLayout w:type="fixed"/>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Layout w:type="fixed"/>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Layout w:type="fixed"/>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Layout w:type="fixed"/>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76</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1</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77</w:t>
            </w:r>
          </w:p>
        </w:tc>
      </w:tr>
      <w:tr>
        <w:tblPrEx>
          <w:tblLayout w:type="fixed"/>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26</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1</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27</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22</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2</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2</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17</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17</w:t>
            </w: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4</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4</w:t>
            </w: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3</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3</w:t>
            </w:r>
          </w:p>
        </w:tc>
      </w:tr>
      <w:tr>
        <w:tblPrEx>
          <w:tblLayout w:type="fixed"/>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74</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cs="宋体"/>
                <w:kern w:val="0"/>
                <w:sz w:val="20"/>
                <w:szCs w:val="20"/>
                <w:lang w:val="en-US" w:eastAsia="zh-CN"/>
              </w:rPr>
              <w:t>1</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cs="宋体"/>
                <w:kern w:val="0"/>
                <w:sz w:val="20"/>
                <w:szCs w:val="20"/>
                <w:lang w:val="en-US" w:eastAsia="zh-CN"/>
              </w:rPr>
              <w:t>75</w:t>
            </w:r>
          </w:p>
        </w:tc>
      </w:tr>
      <w:tr>
        <w:tblPrEx>
          <w:tblLayout w:type="fixed"/>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cs="宋体"/>
                <w:color w:val="000000"/>
                <w:kern w:val="0"/>
                <w:sz w:val="20"/>
                <w:szCs w:val="20"/>
                <w:lang w:val="en-US" w:eastAsia="zh-CN"/>
              </w:rPr>
              <w:t>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r>
    </w:tbl>
    <w:p>
      <w:pPr>
        <w:widowControl/>
        <w:ind w:firstLine="640" w:firstLineChars="200"/>
        <w:jc w:val="left"/>
        <w:rPr>
          <w:rFonts w:ascii="宋体" w:hAnsi="宋体" w:eastAsia="宋体" w:cs="宋体"/>
          <w:color w:val="000000"/>
          <w:kern w:val="0"/>
          <w:sz w:val="20"/>
          <w:szCs w:val="20"/>
        </w:rPr>
      </w:pPr>
      <w:r>
        <w:rPr>
          <w:rFonts w:hint="eastAsia" w:ascii="黑体" w:hAnsi="黑体" w:eastAsia="黑体" w:cs="宋体"/>
          <w:color w:val="000000"/>
          <w:kern w:val="0"/>
          <w:sz w:val="32"/>
          <w:szCs w:val="32"/>
        </w:rPr>
        <w:t>四、政府信息公开行政复议、行政诉讼情况</w:t>
      </w:r>
    </w:p>
    <w:tbl>
      <w:tblPr>
        <w:tblStyle w:val="5"/>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Layout w:type="fixed"/>
          <w:tblCellMar>
            <w:top w:w="0" w:type="dxa"/>
            <w:left w:w="0" w:type="dxa"/>
            <w:bottom w:w="0" w:type="dxa"/>
            <w:right w:w="0" w:type="dxa"/>
          </w:tblCellMar>
        </w:tblPrEx>
        <w:trPr>
          <w:trHeight w:val="757"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bl>
    <w:p>
      <w:pPr>
        <w:spacing w:line="600" w:lineRule="exact"/>
        <w:jc w:val="left"/>
        <w:rPr>
          <w:rFonts w:ascii="仿宋_GB2312" w:hAnsi="文星书宋" w:eastAsia="仿宋_GB2312"/>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638" w:leftChars="304" w:firstLine="0" w:firstLineChars="0"/>
        <w:textAlignment w:val="auto"/>
        <w:rPr>
          <w:rFonts w:ascii="仿宋_GB2312" w:hAnsi="文星书宋" w:eastAsia="仿宋_GB2312"/>
          <w:color w:val="000000"/>
          <w:sz w:val="32"/>
          <w:szCs w:val="32"/>
        </w:rPr>
      </w:pPr>
      <w:r>
        <w:rPr>
          <w:rFonts w:hint="eastAsia" w:ascii="黑体" w:hAnsi="黑体" w:eastAsia="黑体"/>
          <w:color w:val="000000"/>
          <w:sz w:val="32"/>
          <w:szCs w:val="32"/>
        </w:rPr>
        <w:t>五、存在的主要问题及改进</w:t>
      </w:r>
      <w:r>
        <w:rPr>
          <w:rFonts w:hint="eastAsia" w:ascii="黑体" w:hAnsi="黑体" w:eastAsia="黑体"/>
          <w:color w:val="000000"/>
          <w:sz w:val="32"/>
          <w:szCs w:val="32"/>
          <w:lang w:val="en-US" w:eastAsia="zh-CN"/>
        </w:rPr>
        <w:t>措施</w:t>
      </w:r>
      <w:r>
        <w:rPr>
          <w:rFonts w:hint="eastAsia" w:ascii="黑体" w:hAnsi="黑体" w:eastAsia="黑体"/>
          <w:color w:val="000000"/>
          <w:sz w:val="32"/>
          <w:szCs w:val="32"/>
        </w:rPr>
        <w:cr/>
      </w:r>
      <w:r>
        <w:rPr>
          <w:rFonts w:hint="eastAsia" w:ascii="楷体" w:hAnsi="楷体" w:eastAsia="楷体" w:cs="楷体"/>
          <w:color w:val="000000"/>
          <w:sz w:val="32"/>
          <w:szCs w:val="32"/>
        </w:rPr>
        <w:t>（一）存在问题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rPr>
        <w:t>一是专业领域的理论学习仍需加强，</w:t>
      </w:r>
      <w:r>
        <w:rPr>
          <w:rFonts w:hint="eastAsia" w:ascii="仿宋_GB2312" w:hAnsi="文星书宋" w:eastAsia="仿宋_GB2312"/>
          <w:color w:val="000000"/>
          <w:sz w:val="32"/>
          <w:szCs w:val="32"/>
          <w:lang w:val="en-US" w:eastAsia="zh-CN"/>
        </w:rPr>
        <w:t>努力</w:t>
      </w:r>
      <w:r>
        <w:rPr>
          <w:rFonts w:hint="eastAsia" w:ascii="仿宋_GB2312" w:hAnsi="文星书宋" w:eastAsia="仿宋_GB2312"/>
          <w:color w:val="000000"/>
          <w:sz w:val="32"/>
          <w:szCs w:val="32"/>
        </w:rPr>
        <w:t>提升对《条例》新内容的准确把握；二是决策公开仍需</w:t>
      </w:r>
      <w:r>
        <w:rPr>
          <w:rFonts w:hint="eastAsia" w:ascii="仿宋_GB2312" w:hAnsi="文星书宋" w:eastAsia="仿宋_GB2312"/>
          <w:color w:val="000000"/>
          <w:sz w:val="32"/>
          <w:szCs w:val="32"/>
          <w:lang w:val="en-US" w:eastAsia="zh-CN"/>
        </w:rPr>
        <w:t>加大力度</w:t>
      </w:r>
      <w:r>
        <w:rPr>
          <w:rFonts w:hint="eastAsia" w:ascii="仿宋_GB2312" w:hAnsi="文星书宋" w:eastAsia="仿宋_GB2312"/>
          <w:color w:val="000000"/>
          <w:sz w:val="32"/>
          <w:szCs w:val="32"/>
        </w:rPr>
        <w:t>，公众参与具体举措</w:t>
      </w:r>
      <w:r>
        <w:rPr>
          <w:rFonts w:hint="eastAsia" w:ascii="仿宋_GB2312" w:hAnsi="文星书宋" w:eastAsia="仿宋_GB2312"/>
          <w:color w:val="000000"/>
          <w:sz w:val="32"/>
          <w:szCs w:val="32"/>
          <w:lang w:val="en-US" w:eastAsia="zh-CN"/>
        </w:rPr>
        <w:t>还</w:t>
      </w:r>
      <w:r>
        <w:rPr>
          <w:rFonts w:hint="eastAsia" w:ascii="仿宋_GB2312" w:hAnsi="文星书宋" w:eastAsia="仿宋_GB2312"/>
          <w:color w:val="000000"/>
          <w:sz w:val="32"/>
          <w:szCs w:val="32"/>
        </w:rPr>
        <w:t>需进一步细化完善；三是政府网站集约化建设需</w:t>
      </w:r>
      <w:r>
        <w:rPr>
          <w:rFonts w:hint="eastAsia" w:ascii="仿宋_GB2312" w:hAnsi="文星书宋" w:eastAsia="仿宋_GB2312"/>
          <w:color w:val="000000"/>
          <w:sz w:val="32"/>
          <w:szCs w:val="32"/>
          <w:lang w:val="en-US" w:eastAsia="zh-CN"/>
        </w:rPr>
        <w:t>要</w:t>
      </w:r>
      <w:r>
        <w:rPr>
          <w:rFonts w:hint="eastAsia" w:ascii="仿宋_GB2312" w:hAnsi="文星书宋" w:eastAsia="仿宋_GB2312"/>
          <w:color w:val="000000"/>
          <w:sz w:val="32"/>
          <w:szCs w:val="32"/>
        </w:rPr>
        <w:t>持续推进，公开专栏规范化建设有待加强；四是政策解读方式不够多元，精准解读效果仍需提高。</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rPr>
        <w:t>（二）改进</w:t>
      </w:r>
      <w:r>
        <w:rPr>
          <w:rFonts w:hint="eastAsia" w:ascii="楷体" w:hAnsi="楷体" w:eastAsia="楷体" w:cs="楷体"/>
          <w:color w:val="000000"/>
          <w:sz w:val="32"/>
          <w:szCs w:val="32"/>
          <w:lang w:val="en-US" w:eastAsia="zh-CN"/>
        </w:rPr>
        <w:t>措施</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1.</w:t>
      </w:r>
      <w:r>
        <w:rPr>
          <w:rFonts w:hint="eastAsia" w:ascii="仿宋_GB2312" w:hAnsi="文星书宋" w:eastAsia="仿宋_GB2312"/>
          <w:b/>
          <w:bCs/>
          <w:color w:val="000000"/>
          <w:sz w:val="32"/>
          <w:szCs w:val="32"/>
        </w:rPr>
        <w:t>深入做好《条例》的贯彻落实</w:t>
      </w:r>
      <w:r>
        <w:rPr>
          <w:rFonts w:hint="eastAsia" w:ascii="仿宋_GB2312" w:hAnsi="文星书宋" w:eastAsia="仿宋_GB2312"/>
          <w:color w:val="000000"/>
          <w:sz w:val="32"/>
          <w:szCs w:val="32"/>
        </w:rPr>
        <w:t>。出台</w:t>
      </w:r>
      <w:r>
        <w:rPr>
          <w:rFonts w:hint="eastAsia" w:ascii="仿宋_GB2312" w:hAnsi="文星书宋" w:eastAsia="仿宋_GB2312"/>
          <w:color w:val="000000"/>
          <w:sz w:val="32"/>
          <w:szCs w:val="32"/>
          <w:lang w:val="en-US" w:eastAsia="zh-CN"/>
        </w:rPr>
        <w:t>了市中区</w:t>
      </w:r>
      <w:r>
        <w:rPr>
          <w:rFonts w:hint="eastAsia" w:ascii="仿宋_GB2312" w:hAnsi="文星书宋" w:eastAsia="仿宋_GB2312"/>
          <w:color w:val="000000"/>
          <w:sz w:val="32"/>
          <w:szCs w:val="32"/>
        </w:rPr>
        <w:t>政务公开工作规范，</w:t>
      </w:r>
      <w:r>
        <w:rPr>
          <w:rFonts w:hint="eastAsia" w:ascii="仿宋_GB2312" w:hAnsi="文星书宋" w:eastAsia="仿宋_GB2312"/>
          <w:color w:val="000000"/>
          <w:sz w:val="32"/>
          <w:szCs w:val="32"/>
          <w:lang w:val="en-US" w:eastAsia="zh-CN"/>
        </w:rPr>
        <w:t>规范</w:t>
      </w:r>
      <w:r>
        <w:rPr>
          <w:rFonts w:hint="eastAsia" w:ascii="仿宋_GB2312" w:hAnsi="文星书宋" w:eastAsia="仿宋_GB2312"/>
          <w:color w:val="000000"/>
          <w:sz w:val="32"/>
          <w:szCs w:val="32"/>
        </w:rPr>
        <w:t>政府信息公开指南、目录和工作年报编制，完善依申请办理工作全链条管理，动态拓展主动公开范围。</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2.</w:t>
      </w:r>
      <w:r>
        <w:rPr>
          <w:rFonts w:hint="eastAsia" w:ascii="仿宋_GB2312" w:hAnsi="文星书宋" w:eastAsia="仿宋_GB2312"/>
          <w:b/>
          <w:bCs/>
          <w:color w:val="000000"/>
          <w:sz w:val="32"/>
          <w:szCs w:val="32"/>
        </w:rPr>
        <w:t>深化公众参与。</w:t>
      </w:r>
      <w:r>
        <w:rPr>
          <w:rFonts w:hint="eastAsia" w:ascii="仿宋_GB2312" w:hAnsi="文星书宋" w:eastAsia="仿宋_GB2312"/>
          <w:color w:val="000000"/>
          <w:sz w:val="32"/>
          <w:szCs w:val="32"/>
        </w:rPr>
        <w:t>出台重大行政决策公众参与具体措施，严格履行重大行政决策公众参与程序,</w:t>
      </w:r>
      <w:r>
        <w:rPr>
          <w:rFonts w:hint="eastAsia" w:ascii="仿宋_GB2312" w:hAnsi="文星书宋" w:eastAsia="仿宋_GB2312"/>
          <w:color w:val="000000"/>
          <w:sz w:val="32"/>
          <w:szCs w:val="32"/>
          <w:lang w:val="en-US" w:eastAsia="zh-CN"/>
        </w:rPr>
        <w:t>进一步</w:t>
      </w:r>
      <w:r>
        <w:rPr>
          <w:rFonts w:hint="eastAsia" w:ascii="仿宋_GB2312" w:hAnsi="文星书宋" w:eastAsia="仿宋_GB2312"/>
          <w:color w:val="000000"/>
          <w:sz w:val="32"/>
          <w:szCs w:val="32"/>
        </w:rPr>
        <w:t>开展多种形式的公众参与活动。</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hint="eastAsia"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3.</w:t>
      </w:r>
      <w:r>
        <w:rPr>
          <w:rFonts w:hint="eastAsia" w:ascii="仿宋_GB2312" w:hAnsi="文星书宋" w:eastAsia="仿宋_GB2312"/>
          <w:b/>
          <w:bCs/>
          <w:color w:val="000000"/>
          <w:sz w:val="32"/>
          <w:szCs w:val="32"/>
        </w:rPr>
        <w:t>着力提升平台渠道管理和</w:t>
      </w:r>
      <w:r>
        <w:rPr>
          <w:rFonts w:hint="eastAsia" w:ascii="仿宋_GB2312" w:hAnsi="文星书宋" w:eastAsia="仿宋_GB2312"/>
          <w:b/>
          <w:bCs/>
          <w:color w:val="000000"/>
          <w:sz w:val="32"/>
          <w:szCs w:val="32"/>
          <w:lang w:val="en-US" w:eastAsia="zh-CN"/>
        </w:rPr>
        <w:t>内容</w:t>
      </w:r>
      <w:r>
        <w:rPr>
          <w:rFonts w:hint="eastAsia" w:ascii="仿宋_GB2312" w:hAnsi="文星书宋" w:eastAsia="仿宋_GB2312"/>
          <w:b/>
          <w:bCs/>
          <w:color w:val="000000"/>
          <w:sz w:val="32"/>
          <w:szCs w:val="32"/>
        </w:rPr>
        <w:t>服务水平。</w:t>
      </w:r>
      <w:r>
        <w:rPr>
          <w:rFonts w:hint="eastAsia" w:ascii="仿宋_GB2312" w:hAnsi="文星书宋" w:eastAsia="仿宋_GB2312"/>
          <w:color w:val="000000"/>
          <w:sz w:val="32"/>
          <w:szCs w:val="32"/>
        </w:rPr>
        <w:t>加强公开专栏内容维护，聚焦法定主动公开内容，按照“五公开”和发布解读回应要求，优化内容展示形式和方式。</w:t>
      </w:r>
    </w:p>
    <w:p>
      <w:pPr>
        <w:keepNext w:val="0"/>
        <w:keepLines w:val="0"/>
        <w:pageBreakBefore w:val="0"/>
        <w:widowControl w:val="0"/>
        <w:kinsoku/>
        <w:overflowPunct/>
        <w:topLinePunct w:val="0"/>
        <w:autoSpaceDE/>
        <w:autoSpaceDN/>
        <w:bidi w:val="0"/>
        <w:adjustRightInd/>
        <w:snapToGrid/>
        <w:spacing w:line="560" w:lineRule="exact"/>
        <w:ind w:firstLine="643" w:firstLineChars="200"/>
        <w:textAlignment w:val="auto"/>
        <w:rPr>
          <w:rFonts w:ascii="仿宋_GB2312" w:hAnsi="文星书宋" w:eastAsia="仿宋_GB2312"/>
          <w:color w:val="000000"/>
          <w:sz w:val="32"/>
          <w:szCs w:val="32"/>
        </w:rPr>
      </w:pPr>
      <w:r>
        <w:rPr>
          <w:rFonts w:hint="eastAsia" w:ascii="仿宋_GB2312" w:hAnsi="文星书宋" w:eastAsia="仿宋_GB2312"/>
          <w:b/>
          <w:bCs/>
          <w:color w:val="000000"/>
          <w:sz w:val="32"/>
          <w:szCs w:val="32"/>
          <w:lang w:val="en-US" w:eastAsia="zh-CN"/>
        </w:rPr>
        <w:t>4.</w:t>
      </w:r>
      <w:r>
        <w:rPr>
          <w:rFonts w:hint="eastAsia" w:ascii="仿宋_GB2312" w:hAnsi="文星书宋" w:eastAsia="仿宋_GB2312"/>
          <w:b/>
          <w:bCs/>
          <w:color w:val="000000"/>
          <w:sz w:val="32"/>
          <w:szCs w:val="32"/>
        </w:rPr>
        <w:t>进一步深化解读回应。</w:t>
      </w:r>
      <w:r>
        <w:rPr>
          <w:rFonts w:hint="eastAsia" w:ascii="仿宋_GB2312" w:hAnsi="文星书宋" w:eastAsia="仿宋_GB2312"/>
          <w:color w:val="000000"/>
          <w:sz w:val="32"/>
          <w:szCs w:val="32"/>
        </w:rPr>
        <w:t>重点做好</w:t>
      </w:r>
      <w:r>
        <w:rPr>
          <w:rFonts w:hint="eastAsia" w:ascii="仿宋_GB2312" w:hAnsi="文星书宋" w:eastAsia="仿宋_GB2312"/>
          <w:color w:val="000000"/>
          <w:sz w:val="32"/>
          <w:szCs w:val="32"/>
          <w:lang w:val="en-US" w:eastAsia="zh-CN"/>
        </w:rPr>
        <w:t>政策</w:t>
      </w:r>
      <w:r>
        <w:rPr>
          <w:rFonts w:hint="eastAsia" w:ascii="仿宋_GB2312" w:hAnsi="文星书宋" w:eastAsia="仿宋_GB2312"/>
          <w:color w:val="000000"/>
          <w:sz w:val="32"/>
          <w:szCs w:val="32"/>
        </w:rPr>
        <w:t>精准解读工作，提高政策解读的针对性和权威性，精准推送相关政策解读。</w:t>
      </w:r>
    </w:p>
    <w:p>
      <w:pPr>
        <w:keepNext w:val="0"/>
        <w:keepLines w:val="0"/>
        <w:pageBreakBefore w:val="0"/>
        <w:widowControl w:val="0"/>
        <w:kinsoku/>
        <w:overflowPunct/>
        <w:topLinePunct w:val="0"/>
        <w:autoSpaceDE/>
        <w:autoSpaceDN/>
        <w:bidi w:val="0"/>
        <w:adjustRightInd/>
        <w:snapToGrid/>
        <w:spacing w:line="560" w:lineRule="exact"/>
        <w:ind w:left="638" w:leftChars="304"/>
        <w:textAlignment w:val="auto"/>
        <w:rPr>
          <w:rFonts w:ascii="仿宋_GB2312" w:hAnsi="文星书宋" w:eastAsia="仿宋_GB2312"/>
          <w:color w:val="000000"/>
          <w:sz w:val="32"/>
          <w:szCs w:val="32"/>
        </w:rPr>
      </w:pPr>
      <w:r>
        <w:rPr>
          <w:rFonts w:hint="eastAsia" w:ascii="黑体" w:hAnsi="黑体" w:eastAsia="黑体"/>
          <w:color w:val="000000"/>
          <w:sz w:val="32"/>
          <w:szCs w:val="32"/>
        </w:rPr>
        <w:t>六、其他需要报告的事项</w:t>
      </w:r>
      <w:r>
        <w:rPr>
          <w:rFonts w:hint="eastAsia" w:ascii="黑体" w:hAnsi="黑体" w:eastAsia="黑体"/>
          <w:color w:val="000000"/>
          <w:sz w:val="32"/>
          <w:szCs w:val="32"/>
        </w:rPr>
        <w:cr/>
      </w:r>
      <w:r>
        <w:rPr>
          <w:rFonts w:hint="eastAsia" w:ascii="仿宋_GB2312" w:hAnsi="文星书宋" w:eastAsia="仿宋_GB2312"/>
          <w:color w:val="000000"/>
          <w:sz w:val="32"/>
          <w:szCs w:val="32"/>
        </w:rPr>
        <w:t>无。</w:t>
      </w:r>
    </w:p>
    <w:p>
      <w:pPr>
        <w:keepNext w:val="0"/>
        <w:keepLines w:val="0"/>
        <w:pageBreakBefore w:val="0"/>
        <w:widowControl w:val="0"/>
        <w:kinsoku/>
        <w:wordWrap w:val="0"/>
        <w:overflowPunct/>
        <w:topLinePunct w:val="0"/>
        <w:autoSpaceDE/>
        <w:autoSpaceDN/>
        <w:bidi w:val="0"/>
        <w:adjustRightInd/>
        <w:snapToGrid/>
        <w:spacing w:line="560" w:lineRule="exact"/>
        <w:ind w:left="640" w:hanging="640" w:hangingChars="200"/>
        <w:jc w:val="right"/>
        <w:textAlignment w:val="auto"/>
        <w:rPr>
          <w:rFonts w:ascii="仿宋_GB2312" w:hAnsi="文星书宋" w:eastAsia="仿宋_GB2312"/>
          <w:color w:val="000000"/>
          <w:sz w:val="32"/>
          <w:szCs w:val="32"/>
        </w:rPr>
      </w:pPr>
      <w:r>
        <w:rPr>
          <w:rFonts w:hint="eastAsia" w:ascii="仿宋_GB2312" w:hAnsi="文星书宋" w:eastAsia="仿宋_GB2312"/>
          <w:color w:val="000000"/>
          <w:sz w:val="32"/>
          <w:szCs w:val="32"/>
          <w:lang w:val="en-US" w:eastAsia="zh-CN"/>
        </w:rPr>
        <w:t>枣庄市市中</w:t>
      </w:r>
      <w:r>
        <w:rPr>
          <w:rFonts w:hint="eastAsia" w:ascii="仿宋_GB2312" w:hAnsi="文星书宋" w:eastAsia="仿宋_GB2312"/>
          <w:color w:val="000000"/>
          <w:sz w:val="32"/>
          <w:szCs w:val="32"/>
        </w:rPr>
        <w:t xml:space="preserve">区人民政府办公室    </w:t>
      </w:r>
    </w:p>
    <w:p>
      <w:pPr>
        <w:keepNext w:val="0"/>
        <w:keepLines w:val="0"/>
        <w:pageBreakBefore w:val="0"/>
        <w:widowControl w:val="0"/>
        <w:kinsoku/>
        <w:wordWrap w:val="0"/>
        <w:overflowPunct/>
        <w:topLinePunct w:val="0"/>
        <w:autoSpaceDE/>
        <w:autoSpaceDN/>
        <w:bidi w:val="0"/>
        <w:adjustRightInd/>
        <w:snapToGrid/>
        <w:spacing w:line="560" w:lineRule="exact"/>
        <w:ind w:left="640" w:hanging="640" w:hangingChars="200"/>
        <w:jc w:val="right"/>
        <w:textAlignment w:val="auto"/>
      </w:pPr>
      <w:r>
        <w:rPr>
          <w:rFonts w:hint="eastAsia" w:ascii="仿宋_GB2312" w:hAnsi="文星书宋" w:eastAsia="仿宋_GB2312"/>
          <w:color w:val="000000"/>
          <w:sz w:val="32"/>
          <w:szCs w:val="32"/>
        </w:rPr>
        <w:t>202</w:t>
      </w:r>
      <w:r>
        <w:rPr>
          <w:rFonts w:hint="eastAsia" w:ascii="仿宋_GB2312" w:hAnsi="文星书宋" w:eastAsia="仿宋_GB2312"/>
          <w:color w:val="000000"/>
          <w:sz w:val="32"/>
          <w:szCs w:val="32"/>
          <w:lang w:val="en-US" w:eastAsia="zh-CN"/>
        </w:rPr>
        <w:t>1</w:t>
      </w:r>
      <w:r>
        <w:rPr>
          <w:rFonts w:hint="eastAsia" w:ascii="仿宋_GB2312" w:hAnsi="文星书宋" w:eastAsia="仿宋_GB2312"/>
          <w:color w:val="000000"/>
          <w:sz w:val="32"/>
          <w:szCs w:val="32"/>
        </w:rPr>
        <w:t>年2月</w:t>
      </w:r>
      <w:r>
        <w:rPr>
          <w:rFonts w:hint="eastAsia" w:ascii="仿宋_GB2312" w:hAnsi="文星书宋" w:eastAsia="仿宋_GB2312"/>
          <w:color w:val="000000"/>
          <w:sz w:val="32"/>
          <w:szCs w:val="32"/>
          <w:lang w:val="en-US" w:eastAsia="zh-CN"/>
        </w:rPr>
        <w:t>8</w:t>
      </w:r>
      <w:r>
        <w:rPr>
          <w:rFonts w:hint="eastAsia" w:ascii="仿宋_GB2312" w:hAnsi="文星书宋" w:eastAsia="仿宋_GB2312"/>
          <w:color w:val="000000"/>
          <w:sz w:val="32"/>
          <w:szCs w:val="32"/>
        </w:rPr>
        <w:t xml:space="preserve">日        </w:t>
      </w:r>
    </w:p>
    <w:sectPr>
      <w:footerReference r:id="rId3" w:type="default"/>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书宋">
    <w:altName w:val="宋体"/>
    <w:panose1 w:val="02010609000101010101"/>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XPqHbywEAAHoDAAAOAAAAAAAAAAEAIAAAACIBAABkcnMv&#10;ZTJvRG9jLnhtbFBLBQYAAAAABgAGAFkBAABfBQ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75A69"/>
    <w:rsid w:val="00F33365"/>
    <w:rsid w:val="15E22A8C"/>
    <w:rsid w:val="1A0261DE"/>
    <w:rsid w:val="254C738B"/>
    <w:rsid w:val="27DE51EA"/>
    <w:rsid w:val="2A567F8F"/>
    <w:rsid w:val="2EA53A1F"/>
    <w:rsid w:val="2EFB79F4"/>
    <w:rsid w:val="2F694192"/>
    <w:rsid w:val="313718FE"/>
    <w:rsid w:val="3287407A"/>
    <w:rsid w:val="336D5EA7"/>
    <w:rsid w:val="3A402C70"/>
    <w:rsid w:val="3EC13F7F"/>
    <w:rsid w:val="43173EA1"/>
    <w:rsid w:val="433668E7"/>
    <w:rsid w:val="4D173A36"/>
    <w:rsid w:val="51396E64"/>
    <w:rsid w:val="539030DF"/>
    <w:rsid w:val="55395923"/>
    <w:rsid w:val="55E33230"/>
    <w:rsid w:val="5F58304B"/>
    <w:rsid w:val="606C4FAE"/>
    <w:rsid w:val="62BD6648"/>
    <w:rsid w:val="62E44E2A"/>
    <w:rsid w:val="63BC0496"/>
    <w:rsid w:val="63FF547F"/>
    <w:rsid w:val="6AF9492C"/>
    <w:rsid w:val="6B7B46AC"/>
    <w:rsid w:val="6D8F2CA9"/>
    <w:rsid w:val="6EDE53CB"/>
    <w:rsid w:val="7063432D"/>
    <w:rsid w:val="74E35272"/>
    <w:rsid w:val="75437D16"/>
    <w:rsid w:val="7A0B3B12"/>
    <w:rsid w:val="7A5962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vsbcontent_star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vsbcontent_end"/>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Words>
  <Characters>303</Characters>
  <Lines>2</Lines>
  <Paragraphs>1</Paragraphs>
  <TotalTime>509</TotalTime>
  <ScaleCrop>false</ScaleCrop>
  <LinksUpToDate>false</LinksUpToDate>
  <CharactersWithSpaces>355</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2014-02-17T07:02:00Z</dcterms:created>
  <dc:creator>金融办</dc:creator>
  <cp:lastModifiedBy>lenovo</cp:lastModifiedBy>
  <cp:lastPrinted>2021-02-19T02:40:00Z</cp:lastPrinted>
  <dcterms:modified xsi:type="dcterms:W3CDTF">2021-02-25T06:55:46Z</dcterms:modified>
  <dc:title>枣庄市市中区地方金融监督管理局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