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line="555" w:lineRule="atLeast"/>
        <w:ind w:left="0" w:firstLine="645"/>
        <w:jc w:val="both"/>
        <w:rPr>
          <w:rFonts w:hint="eastAsia" w:ascii="宋体" w:hAnsi="宋体" w:eastAsia="宋体" w:cs="宋体"/>
          <w:b/>
          <w:i w:val="0"/>
          <w:caps w:val="0"/>
          <w:color w:val="000000"/>
          <w:spacing w:val="0"/>
          <w:sz w:val="27"/>
          <w:szCs w:val="27"/>
        </w:rPr>
      </w:pPr>
      <w:bookmarkStart w:id="1" w:name="_GoBack"/>
      <w:r>
        <w:rPr>
          <w:rFonts w:hint="eastAsia" w:ascii="宋体" w:hAnsi="宋体" w:eastAsia="宋体" w:cs="宋体"/>
          <w:b/>
          <w:i w:val="0"/>
          <w:caps w:val="0"/>
          <w:color w:val="000000"/>
          <w:spacing w:val="0"/>
          <w:sz w:val="27"/>
          <w:szCs w:val="27"/>
        </w:rPr>
        <w:t>市中区医疗保障局2020年度政府信息公开工作年度报告</w:t>
      </w:r>
    </w:p>
    <w:bookmarkEnd w:id="1"/>
    <w:p>
      <w:pPr>
        <w:pStyle w:val="2"/>
        <w:keepNext w:val="0"/>
        <w:keepLines w:val="0"/>
        <w:widowControl/>
        <w:suppressLineNumbers w:val="0"/>
        <w:bidi w:val="0"/>
        <w:spacing w:before="0" w:beforeAutospacing="0" w:line="555" w:lineRule="atLeast"/>
        <w:ind w:left="0" w:firstLine="645"/>
        <w:jc w:val="both"/>
        <w:rPr>
          <w:rFonts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2020年，我局认真贯彻落实中央、省、市、区有关政务信息公开工作会议和文件的要求，紧紧围绕人民群众最关心、最关注、最需要的问题，本着服务大局、服务百姓的理念，开展医疗保障政务信息公开工作。深入贯彻落实《中华人民共和国政府信息公开条例》（以下简称《条例》），统筹推进医疗保障信息公开，加强信息发布、解读和回应工作，强化制度机制建设，不断增强医疗保障信息公开实效，进一步提高医疗保障公信力，更好的发挥医疗保障信息公开对建设法治政府、创新政府、廉洁政府的促进作用，推动经济持续健康发展和和谐稳定。      </w:t>
      </w:r>
    </w:p>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一、总体情况</w:t>
      </w:r>
    </w:p>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一）加强领导，统筹安排部署各项工作。我局成立了由主要负责人任组长、分管负责人任副组长，各股室负责人为成员的政府信息公开工作领导小组，坚持打造阳光医保、提供高效、便民的医疗保障服务，不断强化医疗保障服务职能，确保信息公开工作持续良好开展，使信息公开工作进一步规范化、制度化。      </w:t>
      </w:r>
    </w:p>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二）落实责任，推动信息公开工作有序开展。我局实行“一把手亲自抓、分管领导具体抓、责任到各个业务股室、任务分解到人头”的联动工作机制，明确专人负责制，收集汇总后由综合室统一报送。建立健全医疗保障信息主动公开、依申请公开、责任追究等项规章制度，形成比较系统完整的工作制度体系，保证医疗保障信息公开工作扎实有效开展。      </w:t>
      </w:r>
    </w:p>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三）按期培训，保证信息公开工作符合规定。按照区政府要求，及时参加政府组织的《条例》、信息公开各类培训和会议，要求信息员基本掌握政府信息公开的主要内容和信息公开的相关常识，熟练操作信息公开平台，确保上传后信息符合各项规定和要求。 </w:t>
      </w:r>
      <w:r>
        <w:rPr>
          <w:rFonts w:ascii="仿宋_GB2312" w:hAnsi="sans-serif" w:eastAsia="仿宋_GB2312" w:cs="仿宋_GB2312"/>
          <w:b/>
          <w:i w:val="0"/>
          <w:caps w:val="0"/>
          <w:color w:val="000000"/>
          <w:spacing w:val="0"/>
          <w:sz w:val="31"/>
          <w:szCs w:val="31"/>
        </w:rPr>
        <w:t>     </w:t>
      </w:r>
    </w:p>
    <w:p>
      <w:pPr>
        <w:pStyle w:val="2"/>
        <w:keepNext w:val="0"/>
        <w:keepLines w:val="0"/>
        <w:widowControl/>
        <w:suppressLineNumbers w:val="0"/>
        <w:shd w:val="clear" w:fill="FFFFFF"/>
        <w:bidi w:val="0"/>
        <w:spacing w:line="525" w:lineRule="atLeast"/>
        <w:ind w:left="0" w:right="0" w:firstLine="645"/>
        <w:jc w:val="both"/>
        <w:rPr>
          <w:rFonts w:hint="default" w:ascii="sans-serif" w:hAnsi="sans-serif" w:eastAsia="sans-serif" w:cs="sans-serif"/>
          <w:b w:val="0"/>
          <w:i w:val="0"/>
          <w:caps w:val="0"/>
          <w:color w:val="000000"/>
          <w:spacing w:val="0"/>
          <w:sz w:val="27"/>
          <w:szCs w:val="27"/>
        </w:rPr>
      </w:pPr>
      <w:r>
        <w:rPr>
          <w:rFonts w:ascii="黑体" w:hAnsi="宋体" w:eastAsia="黑体" w:cs="黑体"/>
          <w:b/>
          <w:i w:val="0"/>
          <w:caps w:val="0"/>
          <w:color w:val="auto"/>
          <w:spacing w:val="0"/>
          <w:sz w:val="31"/>
          <w:szCs w:val="31"/>
          <w:shd w:val="clear" w:fill="FFFFFF"/>
        </w:rPr>
        <w:t>二、主动公开政府信息情况</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2884"/>
        <w:gridCol w:w="319"/>
        <w:gridCol w:w="1980"/>
        <w:gridCol w:w="1423"/>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00" w:hRule="atLeast"/>
        </w:trPr>
        <w:tc>
          <w:tcPr>
            <w:tcW w:w="8516"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ascii="等线" w:hAnsi="等线" w:eastAsia="等线" w:cs="等线"/>
                <w:b/>
                <w:i w:val="0"/>
                <w:caps w:val="0"/>
                <w:color w:val="auto"/>
                <w:spacing w:val="0"/>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70"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信息内容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本年新制作数量          </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本年新</w:t>
            </w:r>
            <w:r>
              <w:rPr>
                <w:rFonts w:hint="eastAsia" w:ascii="等线" w:hAnsi="等线" w:eastAsia="等线" w:cs="等线"/>
                <w:b/>
                <w:i w:val="0"/>
                <w:caps w:val="0"/>
                <w:color w:val="auto"/>
                <w:spacing w:val="0"/>
                <w:sz w:val="24"/>
                <w:szCs w:val="24"/>
                <w:bdr w:val="none" w:color="auto" w:sz="0" w:space="0"/>
              </w:rPr>
              <w:br w:type="textWrapping"/>
            </w:r>
            <w:r>
              <w:rPr>
                <w:rFonts w:hint="eastAsia" w:ascii="等线" w:hAnsi="等线" w:eastAsia="等线" w:cs="等线"/>
                <w:b/>
                <w:i w:val="0"/>
                <w:caps w:val="0"/>
                <w:color w:val="auto"/>
                <w:spacing w:val="0"/>
                <w:sz w:val="24"/>
                <w:szCs w:val="24"/>
                <w:bdr w:val="none" w:color="auto" w:sz="0" w:space="0"/>
              </w:rPr>
              <w:t>公开数量          </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对外公开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总数量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规章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规范性文件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516"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第二十条第（五）项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10"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信息内容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上一年项目数量          </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本年增/减          </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处理决定数量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行政许可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r>
              <w:rPr>
                <w:rFonts w:hint="default" w:ascii="sans-serif" w:hAnsi="sans-serif" w:eastAsia="sans-serif" w:cs="sans-serif"/>
                <w:b w:val="0"/>
                <w:i w:val="0"/>
                <w:caps w:val="0"/>
                <w:color w:val="000000"/>
                <w:spacing w:val="0"/>
                <w:sz w:val="27"/>
                <w:szCs w:val="27"/>
                <w:bdr w:val="none" w:color="auto" w:sz="0" w:space="0"/>
              </w:rPr>
              <w:t>　</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55"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其他对外管理服务事项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21</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4.6万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95" w:hRule="atLeast"/>
        </w:trPr>
        <w:tc>
          <w:tcPr>
            <w:tcW w:w="8516"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第二十条第（六）项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信息内容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上一年项目数量          </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本年增/减          </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处理决定数量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行政处罚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6</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r>
              <w:rPr>
                <w:rFonts w:hint="default" w:ascii="sans-serif" w:hAnsi="sans-serif" w:eastAsia="sans-serif" w:cs="sans-serif"/>
                <w:b w:val="0"/>
                <w:i w:val="0"/>
                <w:caps w:val="0"/>
                <w:color w:val="000000"/>
                <w:spacing w:val="0"/>
                <w:sz w:val="27"/>
                <w:szCs w:val="27"/>
                <w:bdr w:val="none" w:color="auto" w:sz="0" w:space="0"/>
              </w:rPr>
              <w:t>　</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bookmarkStart w:id="0" w:name="_GoBack"/>
            <w:bookmarkEnd w:id="0"/>
            <w:r>
              <w:rPr>
                <w:rFonts w:hint="default" w:ascii="Times New Roman" w:hAnsi="Times New Roman" w:eastAsia="sans-serif" w:cs="Times New Roman"/>
                <w:b/>
                <w:i w:val="0"/>
                <w:caps w:val="0"/>
                <w:color w:val="auto"/>
                <w:spacing w:val="0"/>
                <w:sz w:val="24"/>
                <w:szCs w:val="24"/>
                <w:bdr w:val="none" w:color="auto" w:sz="0" w:space="0"/>
              </w:rPr>
              <w:t>0</w:t>
            </w:r>
            <w:r>
              <w:rPr>
                <w:rFonts w:hint="default" w:ascii="sans-serif" w:hAnsi="sans-serif" w:eastAsia="sans-serif" w:cs="sans-serif"/>
                <w:b w:val="0"/>
                <w:i w:val="0"/>
                <w:caps w:val="0"/>
                <w:color w:val="000000"/>
                <w:spacing w:val="0"/>
                <w:sz w:val="27"/>
                <w:szCs w:val="27"/>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行政强制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1</w:t>
            </w:r>
          </w:p>
        </w:tc>
        <w:tc>
          <w:tcPr>
            <w:tcW w:w="14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r>
              <w:rPr>
                <w:rFonts w:hint="default" w:ascii="sans-serif" w:hAnsi="sans-serif" w:eastAsia="sans-serif" w:cs="sans-serif"/>
                <w:b w:val="0"/>
                <w:i w:val="0"/>
                <w:caps w:val="0"/>
                <w:color w:val="000000"/>
                <w:spacing w:val="0"/>
                <w:sz w:val="27"/>
                <w:szCs w:val="27"/>
                <w:bdr w:val="none" w:color="auto" w:sz="0" w:space="0"/>
              </w:rPr>
              <w:t>　</w:t>
            </w:r>
          </w:p>
        </w:tc>
        <w:tc>
          <w:tcPr>
            <w:tcW w:w="1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r>
              <w:rPr>
                <w:rFonts w:hint="default" w:ascii="sans-serif" w:hAnsi="sans-serif" w:eastAsia="sans-serif" w:cs="sans-serif"/>
                <w:b w:val="0"/>
                <w:i w:val="0"/>
                <w:caps w:val="0"/>
                <w:color w:val="000000"/>
                <w:spacing w:val="0"/>
                <w:sz w:val="27"/>
                <w:szCs w:val="27"/>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516"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第二十条第（八）项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信息内容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上一年项目数量          </w:t>
            </w:r>
          </w:p>
        </w:tc>
        <w:tc>
          <w:tcPr>
            <w:tcW w:w="333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本年增/减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28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行政事业性收费          </w:t>
            </w:r>
          </w:p>
        </w:tc>
        <w:tc>
          <w:tcPr>
            <w:tcW w:w="22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sans-serif" w:hAnsi="sans-serif" w:eastAsia="sans-serif" w:cs="sans-serif"/>
                <w:b w:val="0"/>
                <w:i w:val="0"/>
                <w:caps w:val="0"/>
                <w:color w:val="000000"/>
                <w:spacing w:val="0"/>
                <w:sz w:val="27"/>
                <w:szCs w:val="27"/>
                <w:bdr w:val="none" w:color="auto" w:sz="0" w:space="0"/>
              </w:rPr>
              <w:t>　</w:t>
            </w:r>
            <w:r>
              <w:rPr>
                <w:rFonts w:hint="default" w:ascii="Times New Roman" w:hAnsi="Times New Roman" w:eastAsia="sans-serif" w:cs="Times New Roman"/>
                <w:b/>
                <w:i w:val="0"/>
                <w:caps w:val="0"/>
                <w:color w:val="auto"/>
                <w:spacing w:val="0"/>
                <w:sz w:val="24"/>
                <w:szCs w:val="24"/>
                <w:bdr w:val="none" w:color="auto" w:sz="0" w:space="0"/>
              </w:rPr>
              <w:t>0</w:t>
            </w:r>
          </w:p>
        </w:tc>
        <w:tc>
          <w:tcPr>
            <w:tcW w:w="333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516"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第二十条第（九）项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20" w:hRule="atLeast"/>
        </w:trPr>
        <w:tc>
          <w:tcPr>
            <w:tcW w:w="320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信息内容          </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采购项目数量          </w:t>
            </w:r>
          </w:p>
        </w:tc>
        <w:tc>
          <w:tcPr>
            <w:tcW w:w="333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等线" w:hAnsi="等线" w:eastAsia="等线" w:cs="等线"/>
                <w:b/>
                <w:i w:val="0"/>
                <w:caps w:val="0"/>
                <w:color w:val="auto"/>
                <w:spacing w:val="0"/>
                <w:sz w:val="24"/>
                <w:szCs w:val="24"/>
                <w:bdr w:val="none" w:color="auto" w:sz="0" w:space="0"/>
              </w:rPr>
              <w:t>采购总金额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320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pPr>
            <w:r>
              <w:rPr>
                <w:rFonts w:hint="eastAsia" w:ascii="等线" w:hAnsi="等线" w:eastAsia="等线" w:cs="等线"/>
                <w:b/>
                <w:i w:val="0"/>
                <w:caps w:val="0"/>
                <w:color w:val="auto"/>
                <w:spacing w:val="0"/>
                <w:sz w:val="24"/>
                <w:szCs w:val="24"/>
                <w:bdr w:val="none" w:color="auto" w:sz="0" w:space="0"/>
              </w:rPr>
              <w:t>政府集中采购          </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19</w:t>
            </w:r>
          </w:p>
        </w:tc>
        <w:tc>
          <w:tcPr>
            <w:tcW w:w="333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933118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288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3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198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142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191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bl>
    <w:p>
      <w:pPr>
        <w:pStyle w:val="2"/>
        <w:keepNext w:val="0"/>
        <w:keepLines w:val="0"/>
        <w:widowControl/>
        <w:suppressLineNumbers w:val="0"/>
        <w:shd w:val="clear" w:fill="FFFFFF"/>
        <w:bidi w:val="0"/>
        <w:spacing w:line="525" w:lineRule="atLeast"/>
        <w:ind w:left="0" w:right="0" w:firstLine="645"/>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i w:val="0"/>
          <w:caps w:val="0"/>
          <w:color w:val="auto"/>
          <w:spacing w:val="0"/>
          <w:sz w:val="31"/>
          <w:szCs w:val="31"/>
          <w:shd w:val="clear" w:fill="FFFFFF"/>
        </w:rPr>
        <w:t>三、收到和处理政府信息公开申请情况</w:t>
      </w:r>
    </w:p>
    <w:tbl>
      <w:tblPr>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11"/>
        <w:gridCol w:w="592"/>
        <w:gridCol w:w="1051"/>
        <w:gridCol w:w="1533"/>
        <w:gridCol w:w="591"/>
        <w:gridCol w:w="472"/>
        <w:gridCol w:w="472"/>
        <w:gridCol w:w="472"/>
        <w:gridCol w:w="472"/>
        <w:gridCol w:w="459"/>
        <w:gridCol w:w="497"/>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20" w:hRule="atLeast"/>
        </w:trPr>
        <w:tc>
          <w:tcPr>
            <w:tcW w:w="3487" w:type="dxa"/>
            <w:gridSpan w:val="4"/>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（本列数据的勾稽关系为：第一项加第二项之和，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等于第三项加第四项之和）</w:t>
            </w:r>
          </w:p>
        </w:tc>
        <w:tc>
          <w:tcPr>
            <w:tcW w:w="3435"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申请人情况</w:t>
            </w:r>
          </w:p>
        </w:tc>
        <w:tc>
          <w:tcPr>
            <w:tcW w:w="19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20" w:hRule="atLeast"/>
        </w:trPr>
        <w:tc>
          <w:tcPr>
            <w:tcW w:w="3487" w:type="dxa"/>
            <w:gridSpan w:val="4"/>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591"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自然人</w:t>
            </w:r>
          </w:p>
        </w:tc>
        <w:tc>
          <w:tcPr>
            <w:tcW w:w="2347"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法人或其他组织</w:t>
            </w:r>
          </w:p>
        </w:tc>
        <w:tc>
          <w:tcPr>
            <w:tcW w:w="497"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总计</w:t>
            </w:r>
          </w:p>
        </w:tc>
        <w:tc>
          <w:tcPr>
            <w:tcW w:w="19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1125" w:hRule="atLeast"/>
        </w:trPr>
        <w:tc>
          <w:tcPr>
            <w:tcW w:w="3487" w:type="dxa"/>
            <w:gridSpan w:val="4"/>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59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商业企业</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科研机构</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社会公益组织</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法律服务机构</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eastAsia" w:ascii="宋体" w:hAnsi="宋体" w:eastAsia="宋体" w:cs="宋体"/>
                <w:b/>
                <w:i w:val="0"/>
                <w:caps w:val="0"/>
                <w:color w:val="auto"/>
                <w:spacing w:val="0"/>
                <w:sz w:val="19"/>
                <w:szCs w:val="19"/>
                <w:bdr w:val="none" w:color="auto" w:sz="0" w:space="0"/>
              </w:rPr>
              <w:t>其他</w:t>
            </w:r>
          </w:p>
        </w:tc>
        <w:tc>
          <w:tcPr>
            <w:tcW w:w="49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9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487"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宋体" w:hAnsi="宋体" w:eastAsia="宋体" w:cs="宋体"/>
                <w:b/>
                <w:i w:val="0"/>
                <w:caps w:val="0"/>
                <w:color w:val="auto"/>
                <w:spacing w:val="0"/>
                <w:sz w:val="19"/>
                <w:szCs w:val="19"/>
                <w:bdr w:val="none" w:color="auto" w:sz="0" w:space="0"/>
              </w:rPr>
              <w:t>一、本年新收政府信息公开申请数量</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487"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宋体" w:hAnsi="宋体" w:eastAsia="宋体" w:cs="宋体"/>
                <w:b/>
                <w:i w:val="0"/>
                <w:caps w:val="0"/>
                <w:color w:val="auto"/>
                <w:spacing w:val="0"/>
                <w:sz w:val="19"/>
                <w:szCs w:val="19"/>
                <w:bdr w:val="none" w:color="auto" w:sz="0" w:space="0"/>
              </w:rPr>
              <w:t>二、上年结转政府信息公开申请数量</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宋体" w:hAnsi="宋体" w:eastAsia="宋体" w:cs="宋体"/>
                <w:b/>
                <w:i w:val="0"/>
                <w:caps w:val="0"/>
                <w:color w:val="auto"/>
                <w:spacing w:val="0"/>
                <w:sz w:val="19"/>
                <w:szCs w:val="19"/>
                <w:bdr w:val="none" w:color="auto" w:sz="0" w:space="0"/>
              </w:rPr>
              <w:t>三、本年度办理结果</w:t>
            </w:r>
          </w:p>
        </w:tc>
        <w:tc>
          <w:tcPr>
            <w:tcW w:w="25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ascii="楷体" w:hAnsi="楷体" w:eastAsia="楷体" w:cs="楷体"/>
                <w:b/>
                <w:i w:val="0"/>
                <w:caps w:val="0"/>
                <w:color w:val="auto"/>
                <w:spacing w:val="0"/>
                <w:sz w:val="19"/>
                <w:szCs w:val="19"/>
                <w:bdr w:val="none" w:color="auto" w:sz="0" w:space="0"/>
              </w:rPr>
              <w:t>（一）予以公开</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25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楷体" w:hAnsi="楷体" w:eastAsia="楷体" w:cs="楷体"/>
                <w:b/>
                <w:i w:val="0"/>
                <w:caps w:val="0"/>
                <w:color w:val="auto"/>
                <w:spacing w:val="0"/>
                <w:sz w:val="19"/>
                <w:szCs w:val="19"/>
                <w:bdr w:val="none" w:color="auto" w:sz="0" w:space="0"/>
              </w:rPr>
              <w:t>（二）部分公开（区分处理的，只计这一情形，不计其他情形）</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楷体" w:hAnsi="楷体" w:eastAsia="楷体" w:cs="楷体"/>
                <w:b/>
                <w:i w:val="0"/>
                <w:caps w:val="0"/>
                <w:color w:val="auto"/>
                <w:spacing w:val="0"/>
                <w:sz w:val="19"/>
                <w:szCs w:val="19"/>
                <w:bdr w:val="none" w:color="auto" w:sz="0" w:space="0"/>
              </w:rPr>
              <w:t>（三）不予公开</w:t>
            </w: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1.属于国家秘密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2.其他法律行政法规禁止公开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3.危及“三安全一稳定”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4.保护第三方合法权益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5.属于三类内部事务信息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6.属于四类过程性信息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7.属于行政执法案卷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8.属于行政查询事项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楷体" w:hAnsi="楷体" w:eastAsia="楷体" w:cs="楷体"/>
                <w:b/>
                <w:i w:val="0"/>
                <w:caps w:val="0"/>
                <w:color w:val="auto"/>
                <w:spacing w:val="0"/>
                <w:sz w:val="19"/>
                <w:szCs w:val="19"/>
                <w:bdr w:val="none" w:color="auto" w:sz="0" w:space="0"/>
              </w:rPr>
              <w:t>（四）无法提供</w:t>
            </w: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1.本机关不掌握相关政府信息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2.没有现成信息需要另行制作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3.补正后申请内容仍不明确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楷体" w:hAnsi="楷体" w:eastAsia="楷体" w:cs="楷体"/>
                <w:b/>
                <w:i w:val="0"/>
                <w:caps w:val="0"/>
                <w:color w:val="auto"/>
                <w:spacing w:val="0"/>
                <w:sz w:val="19"/>
                <w:szCs w:val="19"/>
                <w:bdr w:val="none" w:color="auto" w:sz="0" w:space="0"/>
              </w:rPr>
              <w:t>（五）不予处理</w:t>
            </w: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1.信访举报投诉类申请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2.重复申请          </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3.要求提供公开出版物</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4.无正当理由大量反复申请</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05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default" w:ascii="Times New Roman" w:hAnsi="Times New Roman" w:eastAsia="sans-serif" w:cs="Times New Roman"/>
                <w:b/>
                <w:i w:val="0"/>
                <w:caps w:val="0"/>
                <w:color w:val="auto"/>
                <w:spacing w:val="0"/>
                <w:sz w:val="19"/>
                <w:szCs w:val="19"/>
                <w:bdr w:val="none" w:color="auto" w:sz="0" w:space="0"/>
              </w:rPr>
              <w:t>5.要求行政机关确认或重新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firstLine="195"/>
              <w:jc w:val="both"/>
            </w:pPr>
            <w:r>
              <w:rPr>
                <w:rFonts w:hint="eastAsia" w:ascii="楷体" w:hAnsi="楷体" w:eastAsia="楷体" w:cs="楷体"/>
                <w:b/>
                <w:i w:val="0"/>
                <w:caps w:val="0"/>
                <w:color w:val="auto"/>
                <w:spacing w:val="0"/>
                <w:sz w:val="19"/>
                <w:szCs w:val="19"/>
                <w:bdr w:val="none" w:color="auto" w:sz="0" w:space="0"/>
              </w:rPr>
              <w:t>出具已获取信息</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95"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25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楷体" w:hAnsi="楷体" w:eastAsia="楷体" w:cs="楷体"/>
                <w:b/>
                <w:i w:val="0"/>
                <w:caps w:val="0"/>
                <w:color w:val="auto"/>
                <w:spacing w:val="0"/>
                <w:sz w:val="19"/>
                <w:szCs w:val="19"/>
                <w:bdr w:val="none" w:color="auto" w:sz="0" w:space="0"/>
              </w:rPr>
              <w:t>（六）其他处理</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00" w:hRule="atLeast"/>
        </w:trPr>
        <w:tc>
          <w:tcPr>
            <w:tcW w:w="31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25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楷体" w:hAnsi="楷体" w:eastAsia="楷体" w:cs="楷体"/>
                <w:b/>
                <w:i w:val="0"/>
                <w:caps w:val="0"/>
                <w:color w:val="auto"/>
                <w:spacing w:val="0"/>
                <w:sz w:val="19"/>
                <w:szCs w:val="19"/>
                <w:bdr w:val="none" w:color="auto" w:sz="0" w:space="0"/>
              </w:rPr>
              <w:t>（七）总计</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487"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both"/>
            </w:pPr>
            <w:r>
              <w:rPr>
                <w:rFonts w:hint="eastAsia" w:ascii="宋体" w:hAnsi="宋体" w:eastAsia="宋体" w:cs="宋体"/>
                <w:b/>
                <w:i w:val="0"/>
                <w:caps w:val="0"/>
                <w:color w:val="auto"/>
                <w:spacing w:val="0"/>
                <w:sz w:val="19"/>
                <w:szCs w:val="19"/>
                <w:bdr w:val="none" w:color="auto" w:sz="0" w:space="0"/>
              </w:rPr>
              <w:t>四、结转下年度继续办理</w:t>
            </w:r>
          </w:p>
        </w:tc>
        <w:tc>
          <w:tcPr>
            <w:tcW w:w="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4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52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19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1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153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47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47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47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47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4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49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19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r>
    </w:tbl>
    <w:p>
      <w:pPr>
        <w:pStyle w:val="2"/>
        <w:keepNext w:val="0"/>
        <w:keepLines w:val="0"/>
        <w:widowControl/>
        <w:suppressLineNumbers w:val="0"/>
        <w:shd w:val="clear" w:fill="FFFFFF"/>
        <w:bidi w:val="0"/>
        <w:spacing w:line="525" w:lineRule="atLeast"/>
        <w:ind w:left="0" w:right="0" w:firstLine="1155"/>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auto"/>
          <w:spacing w:val="0"/>
          <w:sz w:val="31"/>
          <w:szCs w:val="31"/>
          <w:shd w:val="clear" w:fill="FFFFFF"/>
        </w:rPr>
        <w:t>         </w:t>
      </w:r>
    </w:p>
    <w:p>
      <w:pPr>
        <w:pStyle w:val="2"/>
        <w:keepNext w:val="0"/>
        <w:keepLines w:val="0"/>
        <w:widowControl/>
        <w:suppressLineNumbers w:val="0"/>
        <w:shd w:val="clear" w:fill="FFFFFF"/>
        <w:bidi w:val="0"/>
        <w:spacing w:line="525" w:lineRule="atLeast"/>
        <w:ind w:left="0" w:right="0" w:firstLine="1155"/>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i w:val="0"/>
          <w:caps w:val="0"/>
          <w:color w:val="auto"/>
          <w:spacing w:val="0"/>
          <w:sz w:val="31"/>
          <w:szCs w:val="31"/>
          <w:shd w:val="clear" w:fill="FFFFFF"/>
        </w:rPr>
        <w:t>四、政府信息公开行政复议、行政诉讼情况      </w:t>
      </w:r>
    </w:p>
    <w:p>
      <w:pPr>
        <w:pStyle w:val="2"/>
        <w:keepNext w:val="0"/>
        <w:keepLines w:val="0"/>
        <w:widowControl/>
        <w:suppressLineNumbers w:val="0"/>
        <w:shd w:val="clear" w:fill="FFFFFF"/>
        <w:spacing w:line="315" w:lineRule="atLeast"/>
        <w:ind w:lef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auto"/>
          <w:spacing w:val="0"/>
          <w:sz w:val="27"/>
          <w:szCs w:val="27"/>
          <w:shd w:val="clear" w:fill="FFFFFF"/>
        </w:rPr>
        <w:t>     </w:t>
      </w:r>
    </w:p>
    <w:tbl>
      <w:tblPr>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51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298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5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维持</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尚未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审结</w:t>
            </w:r>
          </w:p>
        </w:tc>
        <w:tc>
          <w:tcPr>
            <w:tcW w:w="6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总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计</w:t>
            </w:r>
          </w:p>
        </w:tc>
        <w:tc>
          <w:tcPr>
            <w:tcW w:w="297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00" w:hRule="atLeast"/>
        </w:trPr>
        <w:tc>
          <w:tcPr>
            <w:tcW w:w="5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6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结果纠正</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其他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尚未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审结</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总计</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纠正</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其他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结果</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尚未审结</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i w:val="0"/>
                <w:caps w:val="0"/>
                <w:color w:val="auto"/>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5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0 </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27"/>
                <w:szCs w:val="27"/>
                <w:bdr w:val="none" w:color="auto" w:sz="0" w:space="0"/>
              </w:rPr>
              <w:t>0</w:t>
            </w: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0 </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0 </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sans-serif" w:cs="Times New Roman"/>
                <w:b/>
                <w:i w:val="0"/>
                <w:caps w:val="0"/>
                <w:color w:val="auto"/>
                <w:spacing w:val="0"/>
                <w:sz w:val="19"/>
                <w:szCs w:val="19"/>
                <w:bdr w:val="none" w:color="auto" w:sz="0" w:space="0"/>
              </w:rPr>
              <w:t> 0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b/>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51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5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1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p>
        </w:tc>
        <w:tc>
          <w:tcPr>
            <w:tcW w:w="6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ind w:left="0" w:firstLine="0"/>
              <w:jc w:val="left"/>
              <w:rPr>
                <w:rFonts w:hint="default" w:ascii="sans-serif" w:hAnsi="sans-serif" w:eastAsia="sans-serif" w:cs="sans-serif"/>
                <w:b w:val="0"/>
                <w:i w:val="0"/>
                <w:caps w:val="0"/>
                <w:color w:val="000000"/>
                <w:spacing w:val="0"/>
                <w:sz w:val="27"/>
                <w:szCs w:val="27"/>
              </w:rPr>
            </w:pPr>
            <w:r>
              <w:rPr>
                <w:rFonts w:hint="default" w:ascii="sans-serif" w:hAnsi="sans-serif" w:eastAsia="sans-serif" w:cs="sans-serif"/>
                <w:b w:val="0"/>
                <w:i w:val="0"/>
                <w:caps w:val="0"/>
                <w:color w:val="000000"/>
                <w:spacing w:val="0"/>
                <w:kern w:val="0"/>
                <w:sz w:val="27"/>
                <w:szCs w:val="27"/>
                <w:bdr w:val="none" w:color="auto" w:sz="0" w:space="0"/>
                <w:lang w:val="en-US" w:eastAsia="zh-CN" w:bidi="ar"/>
              </w:rPr>
              <w:t>      </w:t>
            </w:r>
          </w:p>
        </w:tc>
      </w:tr>
    </w:tbl>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五、存在的主要问题及改进情况      </w:t>
      </w:r>
    </w:p>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一是对信息公开重要性的认识还不到位;二是公开的形式和内容还有待于进一步改进和完善，该公开的有的还未完全公开，公开信息的质量还有待提高；三是人民群众对政务信息公开平台的使用率还不高，适合群众查阅的公开形式不够丰富。      </w:t>
      </w:r>
    </w:p>
    <w:p>
      <w:pPr>
        <w:pStyle w:val="2"/>
        <w:keepNext w:val="0"/>
        <w:keepLines w:val="0"/>
        <w:widowControl/>
        <w:suppressLineNumbers w:val="0"/>
        <w:bidi w:val="0"/>
        <w:spacing w:line="555" w:lineRule="atLeast"/>
        <w:ind w:left="0" w:firstLine="645"/>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i w:val="0"/>
          <w:caps w:val="0"/>
          <w:color w:val="000000"/>
          <w:spacing w:val="0"/>
          <w:sz w:val="27"/>
          <w:szCs w:val="27"/>
        </w:rPr>
        <w:t>随着政府信息公开工作的深入开展以及公民法律和维权意识的不断加强，今后市中区医疗保障局将加大主动公开力度，进一步提高信息公开的及时性;进一步梳理完善政府信息公开内容，对原有的政府信息公开目录进行补充完善，保证公开信息的完整性和准确性;加强宣传力度，通过政府门户网站等多种渠道让公众了解。严肃认真对待每一件依申请公开，为群众讲政策、解难题，架设百姓与政府沟通的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3CF1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2021-05-26T23:43:59Z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