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center"/>
        <w:rPr>
          <w:rFonts w:ascii="sans-serif" w:hAnsi="sans-serif" w:eastAsia="sans-serif" w:cs="sans-serif"/>
          <w:b w:val="0"/>
          <w:i w:val="0"/>
          <w:caps w:val="0"/>
          <w:color w:val="000000"/>
          <w:spacing w:val="0"/>
          <w:sz w:val="27"/>
          <w:szCs w:val="27"/>
        </w:rPr>
      </w:pPr>
      <w:r>
        <w:rPr>
          <w:rFonts w:hint="default" w:ascii="sans-serif" w:hAnsi="sans-serif" w:eastAsia="sans-serif" w:cs="sans-serif"/>
          <w:b w:val="0"/>
          <w:i w:val="0"/>
          <w:caps w:val="0"/>
          <w:color w:val="000000"/>
          <w:spacing w:val="0"/>
          <w:sz w:val="27"/>
          <w:szCs w:val="27"/>
        </w:rPr>
        <w:t> </w:t>
      </w:r>
      <w:r>
        <w:rPr>
          <w:rFonts w:hint="eastAsia" w:asciiTheme="majorEastAsia" w:hAnsiTheme="majorEastAsia" w:eastAsiaTheme="majorEastAsia" w:cstheme="majorEastAsia"/>
          <w:b/>
          <w:bCs/>
          <w:i w:val="0"/>
          <w:caps w:val="0"/>
          <w:color w:val="000000"/>
          <w:spacing w:val="0"/>
          <w:sz w:val="32"/>
          <w:szCs w:val="32"/>
        </w:rPr>
        <w:t>市中区财政局2020年度政府信息公开工作年度报告</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eastAsia" w:asciiTheme="majorEastAsia" w:hAnsiTheme="majorEastAsia" w:eastAsiaTheme="majorEastAsia" w:cstheme="majorEastAsia"/>
          <w:b w:val="0"/>
          <w:bCs/>
          <w:i w:val="0"/>
          <w:caps w:val="0"/>
          <w:color w:val="000000"/>
          <w:spacing w:val="0"/>
          <w:sz w:val="32"/>
          <w:szCs w:val="32"/>
        </w:rPr>
      </w:pPr>
      <w:bookmarkStart w:id="0" w:name="_GoBack"/>
      <w:r>
        <w:rPr>
          <w:rStyle w:val="5"/>
          <w:rFonts w:hint="eastAsia" w:asciiTheme="majorEastAsia" w:hAnsiTheme="majorEastAsia" w:eastAsiaTheme="majorEastAsia" w:cstheme="majorEastAsia"/>
          <w:b w:val="0"/>
          <w:bCs/>
          <w:i w:val="0"/>
          <w:caps w:val="0"/>
          <w:color w:val="000000"/>
          <w:spacing w:val="0"/>
          <w:sz w:val="32"/>
          <w:szCs w:val="32"/>
        </w:rPr>
        <w:t>一、总体情况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705"/>
        <w:textAlignment w:val="auto"/>
        <w:rPr>
          <w:rFonts w:hint="eastAsia" w:asciiTheme="majorEastAsia" w:hAnsiTheme="majorEastAsia" w:eastAsiaTheme="majorEastAsia" w:cstheme="majorEastAsia"/>
          <w:b w:val="0"/>
          <w:bCs/>
          <w:i w:val="0"/>
          <w:caps w:val="0"/>
          <w:color w:val="000000"/>
          <w:spacing w:val="0"/>
          <w:sz w:val="32"/>
          <w:szCs w:val="32"/>
        </w:rPr>
      </w:pPr>
      <w:r>
        <w:rPr>
          <w:rStyle w:val="5"/>
          <w:rFonts w:hint="eastAsia" w:asciiTheme="majorEastAsia" w:hAnsiTheme="majorEastAsia" w:eastAsiaTheme="majorEastAsia" w:cstheme="majorEastAsia"/>
          <w:b w:val="0"/>
          <w:bCs/>
          <w:i w:val="0"/>
          <w:caps w:val="0"/>
          <w:color w:val="000000"/>
          <w:spacing w:val="0"/>
          <w:sz w:val="32"/>
          <w:szCs w:val="32"/>
        </w:rPr>
        <w:t>2020年，我局紧紧围绕中心工作，强化大局意识和服务意识，加强对政府信息公开工作的领导，健全政府信息公开工作体制，完善信息发布机制和监督检查机制，规范依申请公开政府信息的流程，有序推进政府信息公开工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705"/>
        <w:textAlignment w:val="auto"/>
        <w:rPr>
          <w:rFonts w:hint="eastAsia" w:asciiTheme="majorEastAsia" w:hAnsiTheme="majorEastAsia" w:eastAsiaTheme="majorEastAsia" w:cstheme="majorEastAsia"/>
          <w:b w:val="0"/>
          <w:bCs/>
          <w:i w:val="0"/>
          <w:caps w:val="0"/>
          <w:color w:val="000000"/>
          <w:spacing w:val="0"/>
          <w:sz w:val="32"/>
          <w:szCs w:val="32"/>
        </w:rPr>
      </w:pPr>
      <w:r>
        <w:rPr>
          <w:rStyle w:val="5"/>
          <w:rFonts w:hint="eastAsia" w:asciiTheme="majorEastAsia" w:hAnsiTheme="majorEastAsia" w:eastAsiaTheme="majorEastAsia" w:cstheme="majorEastAsia"/>
          <w:b w:val="0"/>
          <w:bCs/>
          <w:i w:val="0"/>
          <w:caps w:val="0"/>
          <w:color w:val="000000"/>
          <w:spacing w:val="0"/>
          <w:sz w:val="32"/>
          <w:szCs w:val="32"/>
        </w:rPr>
        <w:t>（一）加强组织领导。调整充实了政务公开工作领导小组，实行政府信息工作常态化工作机制，落实专人负责统筹协调、编制、发布信息公开内容；严格政府信息公开审核制度，坚持分级审核、先审后发，按照“谁起草、谁解读、谁负责”的要求，确保公开信息的权威性和及时准确。</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705"/>
        <w:textAlignment w:val="auto"/>
        <w:rPr>
          <w:rFonts w:hint="eastAsia" w:asciiTheme="majorEastAsia" w:hAnsiTheme="majorEastAsia" w:eastAsiaTheme="majorEastAsia" w:cstheme="majorEastAsia"/>
          <w:b w:val="0"/>
          <w:bCs/>
          <w:i w:val="0"/>
          <w:caps w:val="0"/>
          <w:color w:val="000000"/>
          <w:spacing w:val="0"/>
          <w:sz w:val="32"/>
          <w:szCs w:val="32"/>
        </w:rPr>
      </w:pPr>
      <w:r>
        <w:rPr>
          <w:rStyle w:val="5"/>
          <w:rFonts w:hint="eastAsia" w:asciiTheme="majorEastAsia" w:hAnsiTheme="majorEastAsia" w:eastAsiaTheme="majorEastAsia" w:cstheme="majorEastAsia"/>
          <w:b w:val="0"/>
          <w:bCs/>
          <w:i w:val="0"/>
          <w:caps w:val="0"/>
          <w:color w:val="000000"/>
          <w:spacing w:val="0"/>
          <w:sz w:val="32"/>
          <w:szCs w:val="32"/>
        </w:rPr>
        <w:t>（二）明确落实责任。年初，召开局长办公会，明确政府信息公开的工作机构和相关责任，将政府信息公开工作继续纳入年度目标考核，实行责任追究制度。具体工作由局信息中心牵头，相关股室配合，纪检监察室负责监督检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705"/>
        <w:textAlignment w:val="auto"/>
        <w:rPr>
          <w:rFonts w:hint="eastAsia" w:asciiTheme="majorEastAsia" w:hAnsiTheme="majorEastAsia" w:eastAsiaTheme="majorEastAsia" w:cstheme="majorEastAsia"/>
          <w:b w:val="0"/>
          <w:bCs/>
          <w:i w:val="0"/>
          <w:caps w:val="0"/>
          <w:color w:val="000000"/>
          <w:spacing w:val="0"/>
          <w:sz w:val="32"/>
          <w:szCs w:val="32"/>
        </w:rPr>
      </w:pPr>
      <w:r>
        <w:rPr>
          <w:rStyle w:val="5"/>
          <w:rFonts w:hint="eastAsia" w:asciiTheme="majorEastAsia" w:hAnsiTheme="majorEastAsia" w:eastAsiaTheme="majorEastAsia" w:cstheme="majorEastAsia"/>
          <w:b w:val="0"/>
          <w:bCs/>
          <w:i w:val="0"/>
          <w:caps w:val="0"/>
          <w:color w:val="000000"/>
          <w:spacing w:val="0"/>
          <w:sz w:val="32"/>
          <w:szCs w:val="32"/>
        </w:rPr>
        <w:t>（三）统一思想认识。为进一步增强干部做好政府信息公开工作的责任感，我局认真组织学习了政府信息公开条例等规定。通过学习，全局上下进一步认识到推进财政政府信息公开是保障人民群众的知情权、参与权、监督权，加强财政部门与人民群众和谐关系的必然要求；是推进财政部服务型机关建设，促进转变机关作风的重要内容；是促进反腐倡廉建设、构建惩防腐败体系的基础性制度。</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Style w:val="5"/>
          <w:rFonts w:hint="eastAsia" w:ascii="黑体" w:hAnsi="宋体" w:eastAsia="黑体" w:cs="黑体"/>
          <w:i w:val="0"/>
          <w:caps w:val="0"/>
          <w:color w:val="000000"/>
          <w:spacing w:val="0"/>
          <w:sz w:val="27"/>
          <w:szCs w:val="27"/>
        </w:rPr>
        <w:t>二、主动公开政府信息情况</w:t>
      </w:r>
    </w:p>
    <w:tbl>
      <w:tblPr>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3120"/>
        <w:gridCol w:w="1875"/>
        <w:gridCol w:w="12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本年新</w:t>
            </w:r>
            <w:r>
              <w:rPr>
                <w:rStyle w:val="5"/>
                <w:rFonts w:hint="eastAsia" w:asciiTheme="majorEastAsia" w:hAnsiTheme="majorEastAsia" w:eastAsiaTheme="majorEastAsia" w:cstheme="majorEastAsia"/>
                <w:i w:val="0"/>
                <w:caps w:val="0"/>
                <w:color w:val="000000"/>
                <w:spacing w:val="0"/>
                <w:sz w:val="21"/>
                <w:szCs w:val="21"/>
                <w:bdr w:val="none" w:color="auto" w:sz="0" w:space="0"/>
              </w:rPr>
              <w:br w:type="textWrapping"/>
            </w:r>
            <w:r>
              <w:rPr>
                <w:rStyle w:val="5"/>
                <w:rFonts w:hint="eastAsia" w:asciiTheme="majorEastAsia" w:hAnsiTheme="majorEastAsia" w:eastAsiaTheme="majorEastAsia" w:cstheme="majorEastAsia"/>
                <w:i w:val="0"/>
                <w:caps w:val="0"/>
                <w:color w:val="000000"/>
                <w:spacing w:val="0"/>
                <w:sz w:val="21"/>
                <w:szCs w:val="21"/>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本年新</w:t>
            </w:r>
            <w:r>
              <w:rPr>
                <w:rStyle w:val="5"/>
                <w:rFonts w:hint="eastAsia" w:asciiTheme="majorEastAsia" w:hAnsiTheme="majorEastAsia" w:eastAsiaTheme="majorEastAsia" w:cstheme="majorEastAsia"/>
                <w:i w:val="0"/>
                <w:caps w:val="0"/>
                <w:color w:val="000000"/>
                <w:spacing w:val="0"/>
                <w:sz w:val="21"/>
                <w:szCs w:val="21"/>
                <w:bdr w:val="none" w:color="auto" w:sz="0" w:space="0"/>
              </w:rPr>
              <w:br w:type="textWrapping"/>
            </w:r>
            <w:r>
              <w:rPr>
                <w:rStyle w:val="5"/>
                <w:rFonts w:hint="eastAsia" w:asciiTheme="majorEastAsia" w:hAnsiTheme="majorEastAsia" w:eastAsiaTheme="majorEastAsia" w:cstheme="majorEastAsia"/>
                <w:i w:val="0"/>
                <w:caps w:val="0"/>
                <w:color w:val="000000"/>
                <w:spacing w:val="0"/>
                <w:sz w:val="21"/>
                <w:szCs w:val="21"/>
                <w:bdr w:val="none" w:color="auto" w:sz="0" w:space="0"/>
              </w:rPr>
              <w:t>公开数量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行政许可</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其他对外管理服务事项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行政处罚</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行政强制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行政事业性收费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32</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 增加1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政府集中采购</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b/>
                <w:i w:val="0"/>
                <w:caps w:val="0"/>
                <w:color w:val="000000"/>
                <w:spacing w:val="0"/>
                <w:sz w:val="21"/>
                <w:szCs w:val="21"/>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b/>
                <w:i w:val="0"/>
                <w:caps w:val="0"/>
                <w:color w:val="000000"/>
                <w:spacing w:val="0"/>
                <w:sz w:val="21"/>
                <w:szCs w:val="21"/>
                <w:bdr w:val="none" w:color="auto" w:sz="0" w:space="0"/>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Style w:val="5"/>
          <w:rFonts w:hint="eastAsia" w:ascii="黑体" w:hAnsi="宋体" w:eastAsia="黑体" w:cs="黑体"/>
          <w:i w:val="0"/>
          <w:caps w:val="0"/>
          <w:color w:val="000000"/>
          <w:spacing w:val="0"/>
          <w:sz w:val="27"/>
          <w:szCs w:val="27"/>
        </w:rPr>
        <w:t>三、收到和处理政府信息公开申请情况</w:t>
      </w:r>
    </w:p>
    <w:tbl>
      <w:tblP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32"/>
        <w:gridCol w:w="843"/>
        <w:gridCol w:w="2245"/>
        <w:gridCol w:w="716"/>
        <w:gridCol w:w="746"/>
        <w:gridCol w:w="746"/>
        <w:gridCol w:w="879"/>
        <w:gridCol w:w="894"/>
        <w:gridCol w:w="717"/>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372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（本列数据的勾稽关系为：第一项加第二项之和，等于第三项加第四项之和）</w:t>
            </w:r>
          </w:p>
        </w:tc>
        <w:tc>
          <w:tcPr>
            <w:tcW w:w="5415"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372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716"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自然人</w:t>
            </w:r>
          </w:p>
        </w:tc>
        <w:tc>
          <w:tcPr>
            <w:tcW w:w="3982"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法人或其他组织</w:t>
            </w:r>
          </w:p>
        </w:tc>
        <w:tc>
          <w:tcPr>
            <w:tcW w:w="717"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372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716"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商业企业</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科研机构</w:t>
            </w:r>
          </w:p>
        </w:tc>
        <w:tc>
          <w:tcPr>
            <w:tcW w:w="87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社会公益组织</w:t>
            </w:r>
          </w:p>
        </w:tc>
        <w:tc>
          <w:tcPr>
            <w:tcW w:w="894"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法律服务机构</w:t>
            </w:r>
          </w:p>
        </w:tc>
        <w:tc>
          <w:tcPr>
            <w:tcW w:w="71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其他</w:t>
            </w:r>
          </w:p>
        </w:tc>
        <w:tc>
          <w:tcPr>
            <w:tcW w:w="717"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72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一、本年新收政府信息公开申请数量</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 1</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72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二、上年结转政府信息公开申请数量</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32"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三、本年度办理结果</w:t>
            </w:r>
          </w:p>
        </w:tc>
        <w:tc>
          <w:tcPr>
            <w:tcW w:w="3088"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（一）予以公开</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3088"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（二）部分公开（区分处理的，只计这一情形，不计其他情形）</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（三）不予公开</w:t>
            </w: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1.属于国家秘密</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2.其他法律行政法规禁止公开</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3.危及“三安全一稳定”</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4.保护第三方合法权益</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5.属于三类内部事务信息</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6.属于四类过程性信息</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7.属于行政执法案卷</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8.属于行政查询事项</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（四）无法提供</w:t>
            </w: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1.本机关不掌握相关政府信息</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 1</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2.没有现成信息需要另行制作</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3.补正后申请内容仍不明确</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（五）不予处理</w:t>
            </w: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1.信访举报投诉类申请</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2.重复申请</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3.要求提供公开出版物</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4.无正当理由大量反复申请</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84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2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5.要求行政机关确认或重新出具已获取信息</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3088"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（六）其他处理</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32"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3088"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（七）总计</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1 </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0 </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372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四、结转下年度继续办理</w:t>
            </w:r>
          </w:p>
        </w:tc>
        <w:tc>
          <w:tcPr>
            <w:tcW w:w="71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4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7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894"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 0</w:t>
            </w:r>
          </w:p>
        </w:tc>
        <w:tc>
          <w:tcPr>
            <w:tcW w:w="71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default" w:ascii="sans-serif" w:hAnsi="sans-serif" w:eastAsia="sans-serif" w:cs="sans-serif"/>
          <w:b w:val="0"/>
          <w:i w:val="0"/>
          <w:caps w:val="0"/>
          <w:color w:val="000000"/>
          <w:spacing w:val="0"/>
          <w:sz w:val="27"/>
          <w:szCs w:val="27"/>
        </w:rPr>
      </w:pPr>
      <w:r>
        <w:rPr>
          <w:rStyle w:val="5"/>
          <w:rFonts w:hint="eastAsia" w:ascii="黑体" w:hAnsi="宋体" w:eastAsia="黑体" w:cs="黑体"/>
          <w:i w:val="0"/>
          <w:caps w:val="0"/>
          <w:color w:val="000000"/>
          <w:spacing w:val="0"/>
          <w:sz w:val="27"/>
          <w:szCs w:val="27"/>
        </w:rPr>
        <w:t>四、政府信息公开行政复议、行政诉讼情况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 </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尚未审结</w:t>
            </w:r>
          </w:p>
        </w:tc>
        <w:tc>
          <w:tcPr>
            <w:tcW w:w="67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67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40" w:lineRule="auto"/>
              <w:textAlignment w:val="auto"/>
              <w:rPr>
                <w:rFonts w:hint="eastAsia" w:asciiTheme="majorEastAsia" w:hAnsiTheme="majorEastAsia" w:eastAsiaTheme="majorEastAsia" w:cstheme="majorEastAsia"/>
                <w:b w:val="0"/>
                <w:i w:val="0"/>
                <w:caps w:val="0"/>
                <w:color w:val="000000"/>
                <w:spacing w:val="0"/>
                <w:sz w:val="21"/>
                <w:szCs w:val="21"/>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尚未审结</w:t>
            </w:r>
          </w:p>
        </w:tc>
        <w:tc>
          <w:tcPr>
            <w:tcW w:w="6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尚未审结</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945" w:hRule="atLeast"/>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sz w:val="21"/>
                <w:szCs w:val="21"/>
                <w:bdr w:val="none" w:color="auto" w:sz="0" w:space="0"/>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Style w:val="5"/>
          <w:rFonts w:hint="default" w:ascii="sans-serif" w:hAnsi="sans-serif" w:eastAsia="sans-serif" w:cs="sans-serif"/>
          <w:i w:val="0"/>
          <w:caps w:val="0"/>
          <w:color w:val="000000"/>
          <w:spacing w:val="0"/>
          <w:sz w:val="27"/>
          <w:szCs w:val="27"/>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jc w:val="left"/>
        <w:textAlignment w:val="auto"/>
        <w:rPr>
          <w:rFonts w:hint="eastAsia" w:asciiTheme="majorEastAsia" w:hAnsiTheme="majorEastAsia" w:eastAsiaTheme="majorEastAsia" w:cstheme="majorEastAsia"/>
          <w:b w:val="0"/>
          <w:bCs/>
          <w:i w:val="0"/>
          <w:caps w:val="0"/>
          <w:color w:val="000000"/>
          <w:spacing w:val="0"/>
          <w:sz w:val="32"/>
          <w:szCs w:val="32"/>
        </w:rPr>
      </w:pPr>
      <w:r>
        <w:rPr>
          <w:rStyle w:val="5"/>
          <w:rFonts w:hint="eastAsia" w:asciiTheme="majorEastAsia" w:hAnsiTheme="majorEastAsia" w:eastAsiaTheme="majorEastAsia" w:cstheme="majorEastAsia"/>
          <w:b w:val="0"/>
          <w:bCs/>
          <w:i w:val="0"/>
          <w:caps w:val="0"/>
          <w:color w:val="000000"/>
          <w:spacing w:val="0"/>
          <w:sz w:val="32"/>
          <w:szCs w:val="32"/>
        </w:rPr>
        <w:t>五、存在的主要问题及改进情况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570"/>
        <w:jc w:val="left"/>
        <w:textAlignment w:val="auto"/>
        <w:rPr>
          <w:rFonts w:hint="eastAsia" w:asciiTheme="majorEastAsia" w:hAnsiTheme="majorEastAsia" w:eastAsiaTheme="majorEastAsia" w:cstheme="majorEastAsia"/>
          <w:b w:val="0"/>
          <w:bCs/>
          <w:i w:val="0"/>
          <w:caps w:val="0"/>
          <w:color w:val="000000"/>
          <w:spacing w:val="0"/>
          <w:sz w:val="32"/>
          <w:szCs w:val="32"/>
        </w:rPr>
      </w:pPr>
      <w:r>
        <w:rPr>
          <w:rStyle w:val="5"/>
          <w:rFonts w:hint="eastAsia" w:asciiTheme="majorEastAsia" w:hAnsiTheme="majorEastAsia" w:eastAsiaTheme="majorEastAsia" w:cstheme="majorEastAsia"/>
          <w:b w:val="0"/>
          <w:bCs/>
          <w:i w:val="0"/>
          <w:caps w:val="0"/>
          <w:color w:val="000000"/>
          <w:spacing w:val="0"/>
          <w:sz w:val="32"/>
          <w:szCs w:val="32"/>
        </w:rPr>
        <w:t>目前，我局政府信息公开中仍存在一些问题：一是各股室政府信息公开意识有待进一步加强；二是公开内容还不够全面。针对以上问题，我们将采取以下改进措施：一是进一步加强宣传培训。组织责任股室负责人及相关工作人员认真学习上级对政府信息公开工作的新精神、新要求，进一步增强对政府信息公开工作重要性的认识，把政府信息公开工作认真抓好抓落实。二是进一步完善政府信息公开制度，充实政府信息公开目录，规范已公开信息，及时补充未公开信息。</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570"/>
        <w:jc w:val="left"/>
        <w:textAlignment w:val="auto"/>
        <w:rPr>
          <w:rFonts w:hint="eastAsia" w:asciiTheme="majorEastAsia" w:hAnsiTheme="majorEastAsia" w:eastAsiaTheme="majorEastAsia" w:cstheme="majorEastAsia"/>
          <w:b w:val="0"/>
          <w:bCs/>
          <w:i w:val="0"/>
          <w:caps w:val="0"/>
          <w:color w:val="000000"/>
          <w:spacing w:val="0"/>
          <w:sz w:val="32"/>
          <w:szCs w:val="32"/>
        </w:rPr>
      </w:pPr>
      <w:r>
        <w:rPr>
          <w:rStyle w:val="5"/>
          <w:rFonts w:hint="eastAsia" w:asciiTheme="majorEastAsia" w:hAnsiTheme="majorEastAsia" w:eastAsiaTheme="majorEastAsia" w:cstheme="majorEastAsia"/>
          <w:b w:val="0"/>
          <w:bCs/>
          <w:i w:val="0"/>
          <w:caps w:val="0"/>
          <w:color w:val="000000"/>
          <w:spacing w:val="0"/>
          <w:sz w:val="32"/>
          <w:szCs w:val="32"/>
        </w:rPr>
        <w:t>六、其他需要报告的事项</w:t>
      </w:r>
    </w:p>
    <w:bookmarkEnd w:id="0"/>
    <w:p>
      <w:pPr>
        <w:pStyle w:val="2"/>
        <w:keepNext w:val="0"/>
        <w:keepLines w:val="0"/>
        <w:widowControl/>
        <w:suppressLineNumbers w:val="0"/>
        <w:spacing w:line="315" w:lineRule="atLeast"/>
        <w:ind w:left="0" w:firstLine="645"/>
        <w:rPr>
          <w:rFonts w:hint="eastAsia" w:asciiTheme="majorEastAsia" w:hAnsiTheme="majorEastAsia" w:eastAsiaTheme="majorEastAsia" w:cstheme="majorEastAsia"/>
          <w:b w:val="0"/>
          <w:bCs/>
          <w:i w:val="0"/>
          <w:caps w:val="0"/>
          <w:color w:val="000000"/>
          <w:spacing w:val="0"/>
          <w:sz w:val="32"/>
          <w:szCs w:val="32"/>
        </w:rPr>
      </w:pPr>
      <w:r>
        <w:rPr>
          <w:rStyle w:val="5"/>
          <w:rFonts w:hint="eastAsia" w:asciiTheme="majorEastAsia" w:hAnsiTheme="majorEastAsia" w:eastAsiaTheme="majorEastAsia" w:cstheme="majorEastAsia"/>
          <w:b w:val="0"/>
          <w:bCs/>
          <w:i w:val="0"/>
          <w:caps w:val="0"/>
          <w:color w:val="000000"/>
          <w:spacing w:val="0"/>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04E722E7"/>
    <w:rsid w:val="070F1631"/>
    <w:rsid w:val="0907227C"/>
    <w:rsid w:val="0A3114CB"/>
    <w:rsid w:val="1AE43721"/>
    <w:rsid w:val="1EC32AB0"/>
    <w:rsid w:val="1F4644CE"/>
    <w:rsid w:val="26F62336"/>
    <w:rsid w:val="2B351CD7"/>
    <w:rsid w:val="3018514E"/>
    <w:rsid w:val="362942AD"/>
    <w:rsid w:val="3CF12A1C"/>
    <w:rsid w:val="3DBC4708"/>
    <w:rsid w:val="3E1772C7"/>
    <w:rsid w:val="42F11408"/>
    <w:rsid w:val="4D582EA5"/>
    <w:rsid w:val="516C0CC7"/>
    <w:rsid w:val="6DC41F01"/>
    <w:rsid w:val="7B1258C5"/>
    <w:rsid w:val="7BC9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2021-05-27T00:16:41Z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