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ascii="sans-serif" w:hAnsi="sans-serif" w:eastAsia="sans-serif" w:cs="sans-serif"/>
          <w:b w:val="0"/>
          <w:i w:val="0"/>
          <w:caps w:val="0"/>
          <w:color w:val="000000"/>
          <w:spacing w:val="0"/>
          <w:sz w:val="27"/>
          <w:szCs w:val="27"/>
        </w:rPr>
      </w:pPr>
      <w:r>
        <w:rPr>
          <w:rFonts w:hint="default" w:ascii="sans-serif" w:hAnsi="sans-serif" w:eastAsia="sans-serif" w:cs="sans-serif"/>
          <w:b w:val="0"/>
          <w:i w:val="0"/>
          <w:caps w:val="0"/>
          <w:color w:val="000000"/>
          <w:spacing w:val="0"/>
          <w:sz w:val="27"/>
          <w:szCs w:val="27"/>
        </w:rPr>
        <w:t> </w:t>
      </w:r>
      <w:r>
        <w:rPr>
          <w:rFonts w:hint="eastAsia" w:asciiTheme="majorEastAsia" w:hAnsiTheme="majorEastAsia" w:eastAsiaTheme="majorEastAsia" w:cstheme="majorEastAsia"/>
          <w:b/>
          <w:bCs/>
          <w:i w:val="0"/>
          <w:caps w:val="0"/>
          <w:color w:val="000000"/>
          <w:spacing w:val="0"/>
          <w:sz w:val="32"/>
          <w:szCs w:val="32"/>
        </w:rPr>
        <w:t>市中区民政局2020年度政府信息公开工作年度报告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bookmarkStart w:id="0" w:name="_GoBack"/>
      <w:r>
        <w:rPr>
          <w:rFonts w:ascii="黑体" w:hAnsi="宋体" w:eastAsia="黑体" w:cs="黑体"/>
          <w:b w:val="0"/>
          <w:i w:val="0"/>
          <w:caps w:val="0"/>
          <w:color w:val="000000"/>
          <w:spacing w:val="0"/>
          <w:sz w:val="31"/>
          <w:szCs w:val="31"/>
        </w:rPr>
        <w:t>一、总体情况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525"/>
        <w:jc w:val="both"/>
        <w:textAlignment w:val="auto"/>
        <w:rPr>
          <w:rFonts w:hint="default" w:ascii="sans-serif" w:hAnsi="sans-serif" w:eastAsia="sans-serif" w:cs="sans-serif"/>
          <w:b w:val="0"/>
          <w:i w:val="0"/>
          <w:caps w:val="0"/>
          <w:color w:val="000000"/>
          <w:spacing w:val="0"/>
          <w:sz w:val="27"/>
          <w:szCs w:val="27"/>
        </w:rPr>
      </w:pPr>
      <w:r>
        <w:rPr>
          <w:rFonts w:hint="eastAsia" w:ascii="仿宋" w:hAnsi="仿宋" w:eastAsia="仿宋" w:cs="仿宋"/>
          <w:b w:val="0"/>
          <w:i w:val="0"/>
          <w:caps w:val="0"/>
          <w:color w:val="000000"/>
          <w:spacing w:val="0"/>
          <w:sz w:val="32"/>
          <w:szCs w:val="32"/>
        </w:rPr>
        <w:t>2020年，我局在区委区政府的正确领导下，深入学习贯彻习近平新时代中国特色社会主义思想和党的十九届五中全会精神，切实把</w:t>
      </w:r>
      <w:r>
        <w:rPr>
          <w:rFonts w:hint="eastAsia" w:ascii="仿宋_GB2312" w:hAnsi="sans-serif" w:eastAsia="仿宋_GB2312" w:cs="仿宋_GB2312"/>
          <w:b w:val="0"/>
          <w:i w:val="0"/>
          <w:caps w:val="0"/>
          <w:color w:val="000000"/>
          <w:spacing w:val="0"/>
          <w:sz w:val="31"/>
          <w:szCs w:val="31"/>
        </w:rPr>
        <w:t>信息公开工作摆上重要议事日程，以增强信息公开实效、提高工作透明度、提升政府公信力为重点，不断加强制度建设、拓展公开渠道，积极推进信息公开各项工作。主动发挥民政职能，对涉及民政业务的规章及规范性文件进行全面收集、整理。坚持公开为常态、不公开为例外的原则，及时、主动公开了全区城乡最低生活保障、特困人员救助供养、临时救助、经济困难老年人补贴、困难残疾人生活补贴、重度残疾人护理补贴等发放情况和相关政策法规。现根据《中华人民共和国政府信息公开条例》、《山东省政府信息公开办法》和区政府关于政务信息公开工作的有关文件要求，编制本报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二、主动公开政府信息情况</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2</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24"/>
                <w:szCs w:val="24"/>
                <w:bdr w:val="none" w:color="auto" w:sz="0" w:space="0"/>
              </w:rPr>
              <w:t>2</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5032</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-284</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default" w:ascii="sans-serif" w:hAnsi="sans-serif" w:eastAsia="sans-serif" w:cs="sans-serif"/>
                <w:b w:val="0"/>
                <w:i w:val="0"/>
                <w:caps w:val="0"/>
                <w:color w:val="000000"/>
                <w:spacing w:val="0"/>
                <w:sz w:val="27"/>
                <w:szCs w:val="27"/>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15"/>
        <w:gridCol w:w="825"/>
        <w:gridCol w:w="2259"/>
        <w:gridCol w:w="719"/>
        <w:gridCol w:w="749"/>
        <w:gridCol w:w="749"/>
        <w:gridCol w:w="883"/>
        <w:gridCol w:w="898"/>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（本列数据的勾稽关系为：第一项加第二项之和，等于第三项加第四项之和）</w:t>
            </w:r>
          </w:p>
        </w:tc>
        <w:tc>
          <w:tcPr>
            <w:tcW w:w="5436"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自然人</w:t>
            </w:r>
          </w:p>
        </w:tc>
        <w:tc>
          <w:tcPr>
            <w:tcW w:w="3998"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法人或其他组织</w:t>
            </w:r>
          </w:p>
        </w:tc>
        <w:tc>
          <w:tcPr>
            <w:tcW w:w="719"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商业企业</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科研机构</w:t>
            </w:r>
          </w:p>
        </w:tc>
        <w:tc>
          <w:tcPr>
            <w:tcW w:w="88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社会公益组织</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法律服务机构</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w:t>
            </w:r>
          </w:p>
        </w:tc>
        <w:tc>
          <w:tcPr>
            <w:tcW w:w="719"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一、本年新收政府信息公开申请数量</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二、上年结转政府信息公开申请数量</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三、本年度办理结果</w:t>
            </w: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ascii="楷体" w:hAnsi="楷体" w:eastAsia="楷体" w:cs="楷体"/>
                <w:b w:val="0"/>
                <w:i w:val="0"/>
                <w:caps w:val="0"/>
                <w:color w:val="000000"/>
                <w:spacing w:val="0"/>
                <w:sz w:val="19"/>
                <w:szCs w:val="19"/>
                <w:bdr w:val="none" w:color="auto" w:sz="0" w:space="0"/>
              </w:rPr>
              <w:t>（一）予以公开</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（二）部分公开（区分处理的，只计这一情形，不计其他情形）</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（三）不予公开</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1.属于国家秘密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2.其他法律行政法规禁止公开</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3.危及“三安全一稳定”</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4.保护第三方合法权益</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5.属于三类内部事务信息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6.属于四类过程性信息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7.属于行政执法案卷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8.属于行政查询事项</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（四）无法提供</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1.本机关不掌握相关政府信息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2.没有现成信息需要另行制作</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3.补正后申请内容仍不明确</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（五）不予处理</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1.信访举报投诉类申请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2.重复申请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3.要求提供公开出版物</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4.无正当理由大量反复申请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5.要求行政机关确认或重新出具已获取信息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（六）其他处理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（七）总计</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四、结转下年度继续办理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四、政府信息公开行政复议、行政诉讼情况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7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7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7"/>
                <w:szCs w:val="27"/>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1"/>
          <w:szCs w:val="31"/>
        </w:rPr>
        <w:t>2020年，我局政府信息公开工作取得了一定成效，但工作中也存在一些不足：信息公开的主动性和实效性有待进一步增强，公开的信息数量和质量有待进一步提升。下步，我局将以习近平新时代中国特色社会主义思想为指导,着力抓好以下政务公开工作：一是加大公开力度，不断丰富信息公开内容、创新信息公开形式、扩展信息公开渠道，增强信息公开的实效；二是加强业务培训，定期开展政务信息公开工作培训，及时准确传达区政府关于政务信息公开工作的政策和要求，进一步提升信息公开的数量和质量；三是提高政务信息公开互动性，在政府信息公开的过程中强化与群众的交流，认真研究群众关心关注的问题，拓展信息公开互动渠道。</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default" w:ascii="sans-serif" w:hAnsi="sans-serif" w:eastAsia="sans-serif" w:cs="sans-serif"/>
          <w:b w:val="0"/>
          <w:i w:val="0"/>
          <w:caps w:val="0"/>
          <w:color w:val="000000"/>
          <w:spacing w:val="0"/>
          <w:sz w:val="27"/>
          <w:szCs w:val="27"/>
        </w:rPr>
        <w:t>     </w:t>
      </w:r>
      <w:r>
        <w:rPr>
          <w:rFonts w:hint="eastAsia" w:ascii="仿宋_GB2312" w:hAnsi="sans-serif" w:eastAsia="仿宋_GB2312" w:cs="仿宋_GB2312"/>
          <w:b w:val="0"/>
          <w:i w:val="0"/>
          <w:caps w:val="0"/>
          <w:color w:val="000000"/>
          <w:spacing w:val="0"/>
          <w:sz w:val="31"/>
          <w:szCs w:val="31"/>
        </w:rPr>
        <w:t> 本年度承办人大代表建议2件、政协提案7件，办复率和满意率均为100%。</w:t>
      </w:r>
    </w:p>
    <w:p>
      <w:pPr>
        <w:keepNext w:val="0"/>
        <w:keepLines w:val="0"/>
        <w:pageBreakBefore w:val="0"/>
        <w:kinsoku/>
        <w:overflowPunct/>
        <w:topLinePunct w:val="0"/>
        <w:autoSpaceDE/>
        <w:autoSpaceDN/>
        <w:bidi w:val="0"/>
        <w:adjustRightInd/>
        <w:snapToGrid/>
        <w:spacing w:beforeAutospacing="0" w:afterAutospacing="0" w:line="240"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070F1631"/>
    <w:rsid w:val="0907227C"/>
    <w:rsid w:val="0A3114CB"/>
    <w:rsid w:val="1AE43721"/>
    <w:rsid w:val="1EC32AB0"/>
    <w:rsid w:val="1F4644CE"/>
    <w:rsid w:val="2B351CD7"/>
    <w:rsid w:val="3018514E"/>
    <w:rsid w:val="362942AD"/>
    <w:rsid w:val="3CF12A1C"/>
    <w:rsid w:val="3DBC4708"/>
    <w:rsid w:val="3E1772C7"/>
    <w:rsid w:val="42F11408"/>
    <w:rsid w:val="4D582EA5"/>
    <w:rsid w:val="516C0CC7"/>
    <w:rsid w:val="6DC41F01"/>
    <w:rsid w:val="7B1258C5"/>
    <w:rsid w:val="7BC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