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95" w:lineRule="atLeast"/>
        <w:ind w:left="0" w:firstLine="645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  <w:t>市中区孟庄镇2020年度政府信息公开工作年度报告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both"/>
        <w:textAlignment w:val="auto"/>
        <w:rPr>
          <w:rFonts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2020年，孟庄镇政府信息公开工作，在区委区政府正确领导下，全面贯彻党的十九大精神和十九届二中、三中、四中、五中全会精神，以习近平新时代中国特色社会主义思想为指导，紧紧围绕全镇中心工作，积极推进政务公开标准化规范化，切实提高政府信息公开工作水平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  （一）加强领导，工作机制逐步完善。我镇高度重视政府信息公开工作，认真贯彻落实《政府信息公开条例》，成立了孟庄镇政务公开工作领导小组，建立健全政务公开责任、审议、评议、反馈、审查和监督等六项制度，落实专人负责统筹、协调、编制、公布政府信息公开内容，保障政府信息及时公开到位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（二）突出重点，公开质量逐步提高。突出重点、拓宽内容，及时公开镇政府信息，力争做到数量提高、公开及时、填报规范、内容全面。针对公开项目的不同情况，确定公开时间，做到常规性工作定期公开和更新，临时性工作随时公开，固定性工作长期公开。坚持把群众最关心、最需要了解的事项公开作为政务公开的重点，从信息公开、电子政务和便民服务三个方面入手，加大推行政务公开的力度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（三）用好载体，完善政务公开形式。设立投诉信箱、举报、监督电话等，专门接受群众投诉举报。进一步提升政府信息与政务公开工作水平，重点公开镇科级干部的主要工作职责、联系电话、各办公室办事程序、镇年度工作要点、工作动态、目标任务完成情况、重点项目完成进度等。</w:t>
      </w:r>
      <w:r>
        <w:rPr>
          <w:rFonts w:ascii="仿宋_GB2312" w:hAnsi="sans-serif" w:eastAsia="仿宋_GB2312" w:cs="仿宋_GB2312"/>
          <w:b w:val="0"/>
          <w:bCs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auto"/>
          <w:spacing w:val="0"/>
          <w:sz w:val="31"/>
          <w:szCs w:val="31"/>
          <w:shd w:val="clear" w:fill="FFFFFF"/>
        </w:rPr>
        <w:t>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bCs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88"/>
        <w:gridCol w:w="1804"/>
        <w:gridCol w:w="319"/>
        <w:gridCol w:w="1214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1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Calibri" w:hAnsi="Calibri" w:eastAsia="sans-serif" w:cs="Calibri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 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一是信息公开主动性不强。对政府信息公开工作的重要性认识不到位，部分信息公开不够及时，工作主动性与公众的需求还有一些差距。二是工作机制还不够健全。因工作人员紧缺，还没有形成专门的机构和人员，导致工作开展效率不高。下一步我们将一方面提高工作重视程度。把政府信息公开工作纳入重要议事日程，高度重视，加强领导，压实责任，配齐信息公开队伍，提高业务人员的素质，确保及时有效公开政府信息。另一方面，提高信息公开力度。严格审核把关，正确把握涉密信息和敏感信息，做到应公开的全部公开，要保密的绝不泄密，积极稳妥公开政府信息。 </w:t>
      </w:r>
      <w:r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auto"/>
          <w:spacing w:val="0"/>
          <w:sz w:val="31"/>
          <w:szCs w:val="31"/>
          <w:shd w:val="clear" w:fill="FFFFFF"/>
        </w:rPr>
        <w:t>    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b w:val="0"/>
          <w:bCs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A3114CB"/>
    <w:rsid w:val="1AE43721"/>
    <w:rsid w:val="1EC32AB0"/>
    <w:rsid w:val="1F4644CE"/>
    <w:rsid w:val="2B351CD7"/>
    <w:rsid w:val="3018514E"/>
    <w:rsid w:val="362942AD"/>
    <w:rsid w:val="3CF12A1C"/>
    <w:rsid w:val="3DBC4708"/>
    <w:rsid w:val="3E1772C7"/>
    <w:rsid w:val="42F11408"/>
    <w:rsid w:val="4D582EA5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