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bidi w:val="0"/>
        <w:spacing w:before="0" w:beforeAutospacing="0" w:line="555" w:lineRule="atLeast"/>
        <w:ind w:left="0" w:firstLine="645"/>
        <w:jc w:val="center"/>
        <w:rPr>
          <w:rFonts w:hint="eastAsia" w:ascii="宋体" w:hAnsi="宋体" w:eastAsia="宋体" w:cs="宋体"/>
          <w:b/>
          <w:bCs/>
          <w:i w:val="0"/>
          <w:caps w:val="0"/>
          <w:color w:val="auto"/>
          <w:spacing w:val="0"/>
          <w:sz w:val="32"/>
          <w:szCs w:val="32"/>
        </w:rPr>
      </w:pPr>
      <w:r>
        <w:rPr>
          <w:rFonts w:hint="eastAsia" w:ascii="宋体" w:hAnsi="宋体" w:eastAsia="宋体" w:cs="宋体"/>
          <w:b/>
          <w:bCs/>
          <w:i w:val="0"/>
          <w:caps w:val="0"/>
          <w:color w:val="auto"/>
          <w:spacing w:val="0"/>
          <w:sz w:val="32"/>
          <w:szCs w:val="32"/>
        </w:rPr>
        <w:t>市中区齐村镇2020年度政府信息公开工作年度报告</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Autospacing="0" w:line="240" w:lineRule="auto"/>
        <w:ind w:left="0" w:firstLine="645"/>
        <w:textAlignment w:val="auto"/>
        <w:rPr>
          <w:rFonts w:ascii="sans-serif" w:hAnsi="sans-serif" w:eastAsia="sans-serif" w:cs="sans-serif"/>
          <w:b w:val="0"/>
          <w:i w:val="0"/>
          <w:caps w:val="0"/>
          <w:color w:val="000000"/>
          <w:spacing w:val="0"/>
          <w:sz w:val="27"/>
          <w:szCs w:val="27"/>
        </w:rPr>
      </w:pPr>
      <w:bookmarkStart w:id="0" w:name="_GoBack"/>
      <w:r>
        <w:rPr>
          <w:rFonts w:hint="eastAsia" w:ascii="宋体" w:hAnsi="宋体" w:eastAsia="宋体" w:cs="宋体"/>
          <w:b w:val="0"/>
          <w:i w:val="0"/>
          <w:caps w:val="0"/>
          <w:color w:val="auto"/>
          <w:spacing w:val="0"/>
          <w:sz w:val="27"/>
          <w:szCs w:val="27"/>
        </w:rPr>
        <w:t>一、总体情况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645"/>
        <w:jc w:val="both"/>
        <w:textAlignment w:val="auto"/>
        <w:rPr>
          <w:rFonts w:hint="default" w:ascii="sans-serif" w:hAnsi="sans-serif" w:eastAsia="sans-serif" w:cs="sans-serif"/>
          <w:b w:val="0"/>
          <w:i w:val="0"/>
          <w:caps w:val="0"/>
          <w:color w:val="000000"/>
          <w:spacing w:val="0"/>
          <w:sz w:val="27"/>
          <w:szCs w:val="27"/>
        </w:rPr>
      </w:pPr>
      <w:r>
        <w:rPr>
          <w:rFonts w:hint="eastAsia" w:ascii="宋体" w:hAnsi="宋体" w:eastAsia="宋体" w:cs="宋体"/>
          <w:b w:val="0"/>
          <w:i w:val="0"/>
          <w:caps w:val="0"/>
          <w:color w:val="auto"/>
          <w:spacing w:val="0"/>
          <w:sz w:val="27"/>
          <w:szCs w:val="27"/>
          <w:shd w:val="clear" w:fill="FFFFFF"/>
        </w:rPr>
        <w:t>2020年，</w:t>
      </w:r>
      <w:r>
        <w:rPr>
          <w:rFonts w:hint="eastAsia" w:ascii="宋体" w:hAnsi="宋体" w:eastAsia="宋体" w:cs="宋体"/>
          <w:b w:val="0"/>
          <w:i w:val="0"/>
          <w:caps w:val="0"/>
          <w:color w:val="auto"/>
          <w:spacing w:val="0"/>
          <w:sz w:val="27"/>
          <w:szCs w:val="27"/>
        </w:rPr>
        <w:t>按照省政府办公厅《关于报送2020年政府信息公开工作年度报告的通知》和市政府办公室《关于编制并报送2020年度政府信息公开工作年度报告的通知》要求</w:t>
      </w:r>
      <w:r>
        <w:rPr>
          <w:rFonts w:hint="eastAsia" w:ascii="宋体" w:hAnsi="宋体" w:eastAsia="宋体" w:cs="宋体"/>
          <w:b w:val="0"/>
          <w:i w:val="0"/>
          <w:caps w:val="0"/>
          <w:color w:val="auto"/>
          <w:spacing w:val="0"/>
          <w:sz w:val="27"/>
          <w:szCs w:val="27"/>
          <w:shd w:val="clear" w:fill="FFFFFF"/>
        </w:rPr>
        <w:t>，齐村镇党委政府围绕区委、区政府的重大决策部署，高度重视、强化检查、抓好监督，平稳有序地推进了政府信息的公开工作。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645"/>
        <w:textAlignment w:val="auto"/>
        <w:rPr>
          <w:rFonts w:hint="default" w:ascii="sans-serif" w:hAnsi="sans-serif" w:eastAsia="sans-serif" w:cs="sans-serif"/>
          <w:b w:val="0"/>
          <w:i w:val="0"/>
          <w:caps w:val="0"/>
          <w:color w:val="000000"/>
          <w:spacing w:val="0"/>
          <w:sz w:val="27"/>
          <w:szCs w:val="27"/>
        </w:rPr>
      </w:pPr>
      <w:r>
        <w:rPr>
          <w:rFonts w:hint="eastAsia" w:ascii="宋体" w:hAnsi="宋体" w:eastAsia="宋体" w:cs="宋体"/>
          <w:b w:val="0"/>
          <w:i w:val="0"/>
          <w:caps w:val="0"/>
          <w:color w:val="auto"/>
          <w:spacing w:val="0"/>
          <w:sz w:val="27"/>
          <w:szCs w:val="27"/>
          <w:shd w:val="clear" w:fill="FFFFFF"/>
        </w:rPr>
        <w:t>本年度报告根据《中华人民共和国政府信息公开条例》（以下简称《条例》）及区委、区政府关于政府信息公开工作的相关规定编制。全文由总体情况、主动公开政府信息情况、依申请公开、行政复议和行政诉讼情况、政府信息公开存在问题及改进措施等部分组成。本年度报告采取主动公开方式。如有疑问请与齐村镇党政办公室联系。</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textAlignment w:val="auto"/>
        <w:rPr>
          <w:rFonts w:hint="default" w:ascii="sans-serif" w:hAnsi="sans-serif" w:eastAsia="sans-serif" w:cs="sans-serif"/>
          <w:b w:val="0"/>
          <w:i w:val="0"/>
          <w:caps w:val="0"/>
          <w:color w:val="000000"/>
          <w:spacing w:val="0"/>
          <w:sz w:val="27"/>
          <w:szCs w:val="27"/>
        </w:rPr>
      </w:pPr>
      <w:r>
        <w:rPr>
          <w:rFonts w:ascii="黑体" w:hAnsi="宋体" w:eastAsia="黑体" w:cs="黑体"/>
          <w:b w:val="0"/>
          <w:i w:val="0"/>
          <w:caps w:val="0"/>
          <w:color w:val="auto"/>
          <w:spacing w:val="0"/>
          <w:sz w:val="31"/>
          <w:szCs w:val="31"/>
        </w:rPr>
        <w:t>二、主动公开政府信息情况      </w:t>
      </w:r>
    </w:p>
    <w:tbl>
      <w:tblPr>
        <w:tblW w:w="81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
      <w:tblGrid>
        <w:gridCol w:w="2989"/>
        <w:gridCol w:w="1804"/>
        <w:gridCol w:w="319"/>
        <w:gridCol w:w="1215"/>
        <w:gridCol w:w="1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95" w:hRule="atLeast"/>
        </w:trPr>
        <w:tc>
          <w:tcPr>
            <w:tcW w:w="8145" w:type="dxa"/>
            <w:gridSpan w:val="5"/>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885" w:hRule="atLeast"/>
        </w:trPr>
        <w:tc>
          <w:tcPr>
            <w:tcW w:w="29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信息内容</w:t>
            </w:r>
          </w:p>
        </w:tc>
        <w:tc>
          <w:tcPr>
            <w:tcW w:w="180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本年新</w:t>
            </w:r>
            <w:r>
              <w:rPr>
                <w:rFonts w:hint="eastAsia" w:ascii="宋体" w:hAnsi="宋体" w:eastAsia="宋体" w:cs="宋体"/>
                <w:b w:val="0"/>
                <w:i w:val="0"/>
                <w:caps w:val="0"/>
                <w:color w:val="auto"/>
                <w:spacing w:val="0"/>
                <w:sz w:val="19"/>
                <w:szCs w:val="19"/>
                <w:bdr w:val="none" w:color="auto" w:sz="0" w:space="0"/>
              </w:rPr>
              <w:br w:type="textWrapping"/>
            </w:r>
            <w:r>
              <w:rPr>
                <w:rFonts w:hint="eastAsia" w:ascii="宋体" w:hAnsi="宋体" w:eastAsia="宋体" w:cs="宋体"/>
                <w:b w:val="0"/>
                <w:i w:val="0"/>
                <w:caps w:val="0"/>
                <w:color w:val="auto"/>
                <w:spacing w:val="0"/>
                <w:sz w:val="19"/>
                <w:szCs w:val="19"/>
                <w:bdr w:val="none" w:color="auto" w:sz="0" w:space="0"/>
              </w:rPr>
              <w:t>制作数量</w:t>
            </w:r>
          </w:p>
        </w:tc>
        <w:tc>
          <w:tcPr>
            <w:tcW w:w="1534"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本年新</w:t>
            </w:r>
            <w:r>
              <w:rPr>
                <w:rFonts w:hint="eastAsia" w:ascii="宋体" w:hAnsi="宋体" w:eastAsia="宋体" w:cs="宋体"/>
                <w:b w:val="0"/>
                <w:i w:val="0"/>
                <w:caps w:val="0"/>
                <w:color w:val="auto"/>
                <w:spacing w:val="0"/>
                <w:sz w:val="19"/>
                <w:szCs w:val="19"/>
                <w:bdr w:val="none" w:color="auto" w:sz="0" w:space="0"/>
              </w:rPr>
              <w:br w:type="textWrapping"/>
            </w:r>
            <w:r>
              <w:rPr>
                <w:rFonts w:hint="eastAsia" w:ascii="宋体" w:hAnsi="宋体" w:eastAsia="宋体" w:cs="宋体"/>
                <w:b w:val="0"/>
                <w:i w:val="0"/>
                <w:caps w:val="0"/>
                <w:color w:val="auto"/>
                <w:spacing w:val="0"/>
                <w:sz w:val="19"/>
                <w:szCs w:val="19"/>
                <w:bdr w:val="none" w:color="auto" w:sz="0" w:space="0"/>
              </w:rPr>
              <w:t>公开数量</w:t>
            </w:r>
          </w:p>
        </w:tc>
        <w:tc>
          <w:tcPr>
            <w:tcW w:w="181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525" w:hRule="atLeast"/>
        </w:trPr>
        <w:tc>
          <w:tcPr>
            <w:tcW w:w="29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b w:val="0"/>
                <w:i w:val="0"/>
                <w:caps w:val="0"/>
                <w:color w:val="auto"/>
                <w:spacing w:val="0"/>
                <w:sz w:val="19"/>
                <w:szCs w:val="19"/>
                <w:bdr w:val="none" w:color="auto" w:sz="0" w:space="0"/>
              </w:rPr>
              <w:t>规章</w:t>
            </w:r>
          </w:p>
        </w:tc>
        <w:tc>
          <w:tcPr>
            <w:tcW w:w="180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Times New Roman" w:hAnsi="Times New Roman" w:eastAsia="sans-serif" w:cs="Times New Roman"/>
                <w:b w:val="0"/>
                <w:i w:val="0"/>
                <w:caps w:val="0"/>
                <w:color w:val="auto"/>
                <w:spacing w:val="0"/>
                <w:sz w:val="24"/>
                <w:szCs w:val="24"/>
                <w:bdr w:val="none" w:color="auto" w:sz="0" w:space="0"/>
              </w:rPr>
              <w:t>0</w:t>
            </w:r>
          </w:p>
        </w:tc>
        <w:tc>
          <w:tcPr>
            <w:tcW w:w="1534"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Times New Roman" w:hAnsi="Times New Roman" w:eastAsia="sans-serif" w:cs="Times New Roman"/>
                <w:b w:val="0"/>
                <w:i w:val="0"/>
                <w:caps w:val="0"/>
                <w:color w:val="auto"/>
                <w:spacing w:val="0"/>
                <w:sz w:val="24"/>
                <w:szCs w:val="24"/>
                <w:bdr w:val="none" w:color="auto" w:sz="0" w:space="0"/>
              </w:rPr>
              <w:t>0</w:t>
            </w:r>
          </w:p>
        </w:tc>
        <w:tc>
          <w:tcPr>
            <w:tcW w:w="181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Times New Roman" w:hAnsi="Times New Roman" w:eastAsia="sans-serif" w:cs="Times New Roman"/>
                <w:b w:val="0"/>
                <w:i w:val="0"/>
                <w:caps w:val="0"/>
                <w:color w:val="auto"/>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65" w:hRule="atLeast"/>
        </w:trPr>
        <w:tc>
          <w:tcPr>
            <w:tcW w:w="29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b w:val="0"/>
                <w:i w:val="0"/>
                <w:caps w:val="0"/>
                <w:color w:val="auto"/>
                <w:spacing w:val="0"/>
                <w:sz w:val="19"/>
                <w:szCs w:val="19"/>
                <w:bdr w:val="none" w:color="auto" w:sz="0" w:space="0"/>
              </w:rPr>
              <w:t>规范性文件</w:t>
            </w:r>
          </w:p>
        </w:tc>
        <w:tc>
          <w:tcPr>
            <w:tcW w:w="180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Times New Roman" w:hAnsi="Times New Roman" w:eastAsia="sans-serif" w:cs="Times New Roman"/>
                <w:b w:val="0"/>
                <w:i w:val="0"/>
                <w:caps w:val="0"/>
                <w:color w:val="auto"/>
                <w:spacing w:val="0"/>
                <w:sz w:val="24"/>
                <w:szCs w:val="24"/>
                <w:bdr w:val="none" w:color="auto" w:sz="0" w:space="0"/>
              </w:rPr>
              <w:t>0</w:t>
            </w:r>
          </w:p>
        </w:tc>
        <w:tc>
          <w:tcPr>
            <w:tcW w:w="1534"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Times New Roman" w:hAnsi="Times New Roman" w:eastAsia="sans-serif" w:cs="Times New Roman"/>
                <w:b w:val="0"/>
                <w:i w:val="0"/>
                <w:caps w:val="0"/>
                <w:color w:val="auto"/>
                <w:spacing w:val="0"/>
                <w:sz w:val="24"/>
                <w:szCs w:val="24"/>
                <w:bdr w:val="none" w:color="auto" w:sz="0" w:space="0"/>
              </w:rPr>
              <w:t>0</w:t>
            </w:r>
          </w:p>
        </w:tc>
        <w:tc>
          <w:tcPr>
            <w:tcW w:w="181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Times New Roman" w:hAnsi="Times New Roman" w:eastAsia="sans-serif" w:cs="Times New Roman"/>
                <w:b w:val="0"/>
                <w:i w:val="0"/>
                <w:caps w:val="0"/>
                <w:color w:val="auto"/>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80" w:hRule="atLeast"/>
        </w:trPr>
        <w:tc>
          <w:tcPr>
            <w:tcW w:w="8145" w:type="dxa"/>
            <w:gridSpan w:val="5"/>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630" w:hRule="atLeast"/>
        </w:trPr>
        <w:tc>
          <w:tcPr>
            <w:tcW w:w="29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信息内容</w:t>
            </w:r>
          </w:p>
        </w:tc>
        <w:tc>
          <w:tcPr>
            <w:tcW w:w="180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上一年项目数量</w:t>
            </w:r>
          </w:p>
        </w:tc>
        <w:tc>
          <w:tcPr>
            <w:tcW w:w="1534"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本年增/减</w:t>
            </w:r>
          </w:p>
        </w:tc>
        <w:tc>
          <w:tcPr>
            <w:tcW w:w="181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525" w:hRule="atLeast"/>
        </w:trPr>
        <w:tc>
          <w:tcPr>
            <w:tcW w:w="29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b w:val="0"/>
                <w:i w:val="0"/>
                <w:caps w:val="0"/>
                <w:color w:val="auto"/>
                <w:spacing w:val="0"/>
                <w:sz w:val="19"/>
                <w:szCs w:val="19"/>
                <w:bdr w:val="none" w:color="auto" w:sz="0" w:space="0"/>
              </w:rPr>
              <w:t>行政许可</w:t>
            </w:r>
          </w:p>
        </w:tc>
        <w:tc>
          <w:tcPr>
            <w:tcW w:w="2123"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Times New Roman" w:hAnsi="Times New Roman" w:eastAsia="sans-serif" w:cs="Times New Roman"/>
                <w:b w:val="0"/>
                <w:i w:val="0"/>
                <w:caps w:val="0"/>
                <w:color w:val="auto"/>
                <w:spacing w:val="0"/>
                <w:sz w:val="24"/>
                <w:szCs w:val="24"/>
                <w:bdr w:val="none" w:color="auto" w:sz="0" w:space="0"/>
              </w:rPr>
              <w:t>0</w:t>
            </w:r>
          </w:p>
        </w:tc>
        <w:tc>
          <w:tcPr>
            <w:tcW w:w="12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Times New Roman" w:hAnsi="Times New Roman" w:eastAsia="sans-serif" w:cs="Times New Roman"/>
                <w:b w:val="0"/>
                <w:i w:val="0"/>
                <w:caps w:val="0"/>
                <w:color w:val="auto"/>
                <w:spacing w:val="0"/>
                <w:sz w:val="24"/>
                <w:szCs w:val="24"/>
                <w:bdr w:val="none" w:color="auto" w:sz="0" w:space="0"/>
              </w:rPr>
              <w:t>0</w:t>
            </w:r>
          </w:p>
        </w:tc>
        <w:tc>
          <w:tcPr>
            <w:tcW w:w="181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Times New Roman" w:hAnsi="Times New Roman" w:eastAsia="sans-serif" w:cs="Times New Roman"/>
                <w:b w:val="0"/>
                <w:i w:val="0"/>
                <w:caps w:val="0"/>
                <w:color w:val="auto"/>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555" w:hRule="atLeast"/>
        </w:trPr>
        <w:tc>
          <w:tcPr>
            <w:tcW w:w="29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b w:val="0"/>
                <w:i w:val="0"/>
                <w:caps w:val="0"/>
                <w:color w:val="auto"/>
                <w:spacing w:val="0"/>
                <w:sz w:val="19"/>
                <w:szCs w:val="19"/>
                <w:bdr w:val="none" w:color="auto" w:sz="0" w:space="0"/>
              </w:rPr>
              <w:t>其他对外管理服务事项</w:t>
            </w:r>
          </w:p>
        </w:tc>
        <w:tc>
          <w:tcPr>
            <w:tcW w:w="2123"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Times New Roman" w:hAnsi="Times New Roman" w:eastAsia="sans-serif" w:cs="Times New Roman"/>
                <w:b w:val="0"/>
                <w:i w:val="0"/>
                <w:caps w:val="0"/>
                <w:color w:val="auto"/>
                <w:spacing w:val="0"/>
                <w:sz w:val="24"/>
                <w:szCs w:val="24"/>
                <w:bdr w:val="none" w:color="auto" w:sz="0" w:space="0"/>
              </w:rPr>
              <w:t>0</w:t>
            </w:r>
          </w:p>
        </w:tc>
        <w:tc>
          <w:tcPr>
            <w:tcW w:w="12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Times New Roman" w:hAnsi="Times New Roman" w:eastAsia="sans-serif" w:cs="Times New Roman"/>
                <w:b w:val="0"/>
                <w:i w:val="0"/>
                <w:caps w:val="0"/>
                <w:color w:val="auto"/>
                <w:spacing w:val="0"/>
                <w:sz w:val="24"/>
                <w:szCs w:val="24"/>
                <w:bdr w:val="none" w:color="auto" w:sz="0" w:space="0"/>
              </w:rPr>
              <w:t>0</w:t>
            </w:r>
          </w:p>
        </w:tc>
        <w:tc>
          <w:tcPr>
            <w:tcW w:w="181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Times New Roman" w:hAnsi="Times New Roman" w:eastAsia="sans-serif" w:cs="Times New Roman"/>
                <w:b w:val="0"/>
                <w:i w:val="0"/>
                <w:caps w:val="0"/>
                <w:color w:val="auto"/>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05" w:hRule="atLeast"/>
        </w:trPr>
        <w:tc>
          <w:tcPr>
            <w:tcW w:w="8145" w:type="dxa"/>
            <w:gridSpan w:val="5"/>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630" w:hRule="atLeast"/>
        </w:trPr>
        <w:tc>
          <w:tcPr>
            <w:tcW w:w="29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信息内容</w:t>
            </w:r>
          </w:p>
        </w:tc>
        <w:tc>
          <w:tcPr>
            <w:tcW w:w="180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上一年项目数量</w:t>
            </w:r>
          </w:p>
        </w:tc>
        <w:tc>
          <w:tcPr>
            <w:tcW w:w="1534"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本年增/减</w:t>
            </w:r>
          </w:p>
        </w:tc>
        <w:tc>
          <w:tcPr>
            <w:tcW w:w="181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35" w:hRule="atLeast"/>
        </w:trPr>
        <w:tc>
          <w:tcPr>
            <w:tcW w:w="29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b w:val="0"/>
                <w:i w:val="0"/>
                <w:caps w:val="0"/>
                <w:color w:val="auto"/>
                <w:spacing w:val="0"/>
                <w:sz w:val="19"/>
                <w:szCs w:val="19"/>
                <w:bdr w:val="none" w:color="auto" w:sz="0" w:space="0"/>
              </w:rPr>
              <w:t>行政处罚</w:t>
            </w:r>
          </w:p>
        </w:tc>
        <w:tc>
          <w:tcPr>
            <w:tcW w:w="2123"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Times New Roman" w:hAnsi="Times New Roman" w:eastAsia="sans-serif" w:cs="Times New Roman"/>
                <w:b w:val="0"/>
                <w:i w:val="0"/>
                <w:caps w:val="0"/>
                <w:color w:val="auto"/>
                <w:spacing w:val="0"/>
                <w:sz w:val="24"/>
                <w:szCs w:val="24"/>
                <w:bdr w:val="none" w:color="auto" w:sz="0" w:space="0"/>
              </w:rPr>
              <w:t>0</w:t>
            </w:r>
          </w:p>
        </w:tc>
        <w:tc>
          <w:tcPr>
            <w:tcW w:w="12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Times New Roman" w:hAnsi="Times New Roman" w:eastAsia="sans-serif" w:cs="Times New Roman"/>
                <w:b w:val="0"/>
                <w:i w:val="0"/>
                <w:caps w:val="0"/>
                <w:color w:val="auto"/>
                <w:spacing w:val="0"/>
                <w:sz w:val="24"/>
                <w:szCs w:val="24"/>
                <w:bdr w:val="none" w:color="auto" w:sz="0" w:space="0"/>
              </w:rPr>
              <w:t>0</w:t>
            </w:r>
          </w:p>
        </w:tc>
        <w:tc>
          <w:tcPr>
            <w:tcW w:w="181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Times New Roman" w:hAnsi="Times New Roman" w:eastAsia="sans-serif" w:cs="Times New Roman"/>
                <w:b w:val="0"/>
                <w:i w:val="0"/>
                <w:caps w:val="0"/>
                <w:color w:val="auto"/>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05" w:hRule="atLeast"/>
        </w:trPr>
        <w:tc>
          <w:tcPr>
            <w:tcW w:w="29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b w:val="0"/>
                <w:i w:val="0"/>
                <w:caps w:val="0"/>
                <w:color w:val="auto"/>
                <w:spacing w:val="0"/>
                <w:sz w:val="19"/>
                <w:szCs w:val="19"/>
                <w:bdr w:val="none" w:color="auto" w:sz="0" w:space="0"/>
              </w:rPr>
              <w:t>行政强制</w:t>
            </w:r>
          </w:p>
        </w:tc>
        <w:tc>
          <w:tcPr>
            <w:tcW w:w="2123"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Times New Roman" w:hAnsi="Times New Roman" w:eastAsia="sans-serif" w:cs="Times New Roman"/>
                <w:b w:val="0"/>
                <w:i w:val="0"/>
                <w:caps w:val="0"/>
                <w:color w:val="auto"/>
                <w:spacing w:val="0"/>
                <w:sz w:val="24"/>
                <w:szCs w:val="24"/>
                <w:bdr w:val="none" w:color="auto" w:sz="0" w:space="0"/>
              </w:rPr>
              <w:t>0</w:t>
            </w:r>
          </w:p>
        </w:tc>
        <w:tc>
          <w:tcPr>
            <w:tcW w:w="12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Times New Roman" w:hAnsi="Times New Roman" w:eastAsia="sans-serif" w:cs="Times New Roman"/>
                <w:b w:val="0"/>
                <w:i w:val="0"/>
                <w:caps w:val="0"/>
                <w:color w:val="auto"/>
                <w:spacing w:val="0"/>
                <w:sz w:val="24"/>
                <w:szCs w:val="24"/>
                <w:bdr w:val="none" w:color="auto" w:sz="0" w:space="0"/>
              </w:rPr>
              <w:t>0</w:t>
            </w:r>
          </w:p>
        </w:tc>
        <w:tc>
          <w:tcPr>
            <w:tcW w:w="181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Times New Roman" w:hAnsi="Times New Roman" w:eastAsia="sans-serif" w:cs="Times New Roman"/>
                <w:b w:val="0"/>
                <w:i w:val="0"/>
                <w:caps w:val="0"/>
                <w:color w:val="auto"/>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80" w:hRule="atLeast"/>
        </w:trPr>
        <w:tc>
          <w:tcPr>
            <w:tcW w:w="8145" w:type="dxa"/>
            <w:gridSpan w:val="5"/>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270" w:hRule="atLeast"/>
        </w:trPr>
        <w:tc>
          <w:tcPr>
            <w:tcW w:w="29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信息内容</w:t>
            </w:r>
          </w:p>
        </w:tc>
        <w:tc>
          <w:tcPr>
            <w:tcW w:w="2123"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上一年项目数量</w:t>
            </w:r>
          </w:p>
        </w:tc>
        <w:tc>
          <w:tcPr>
            <w:tcW w:w="3033"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555" w:hRule="atLeast"/>
        </w:trPr>
        <w:tc>
          <w:tcPr>
            <w:tcW w:w="29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b w:val="0"/>
                <w:i w:val="0"/>
                <w:caps w:val="0"/>
                <w:color w:val="auto"/>
                <w:spacing w:val="0"/>
                <w:sz w:val="19"/>
                <w:szCs w:val="19"/>
                <w:bdr w:val="none" w:color="auto" w:sz="0" w:space="0"/>
              </w:rPr>
              <w:t>行政事业性收费</w:t>
            </w:r>
          </w:p>
        </w:tc>
        <w:tc>
          <w:tcPr>
            <w:tcW w:w="2123"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Times New Roman" w:hAnsi="Times New Roman" w:eastAsia="sans-serif" w:cs="Times New Roman"/>
                <w:b w:val="0"/>
                <w:i w:val="0"/>
                <w:caps w:val="0"/>
                <w:color w:val="auto"/>
                <w:spacing w:val="0"/>
                <w:sz w:val="24"/>
                <w:szCs w:val="24"/>
                <w:bdr w:val="none" w:color="auto" w:sz="0" w:space="0"/>
              </w:rPr>
              <w:t>0</w:t>
            </w:r>
          </w:p>
        </w:tc>
        <w:tc>
          <w:tcPr>
            <w:tcW w:w="3033"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Times New Roman" w:hAnsi="Times New Roman" w:eastAsia="sans-serif" w:cs="Times New Roman"/>
                <w:b w:val="0"/>
                <w:i w:val="0"/>
                <w:caps w:val="0"/>
                <w:color w:val="auto"/>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80" w:hRule="atLeast"/>
        </w:trPr>
        <w:tc>
          <w:tcPr>
            <w:tcW w:w="8145" w:type="dxa"/>
            <w:gridSpan w:val="5"/>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585" w:hRule="atLeast"/>
        </w:trPr>
        <w:tc>
          <w:tcPr>
            <w:tcW w:w="29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信息内容</w:t>
            </w:r>
          </w:p>
        </w:tc>
        <w:tc>
          <w:tcPr>
            <w:tcW w:w="2123"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采购项目数量</w:t>
            </w:r>
          </w:p>
        </w:tc>
        <w:tc>
          <w:tcPr>
            <w:tcW w:w="3033"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540" w:hRule="atLeast"/>
        </w:trPr>
        <w:tc>
          <w:tcPr>
            <w:tcW w:w="29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b w:val="0"/>
                <w:i w:val="0"/>
                <w:caps w:val="0"/>
                <w:color w:val="auto"/>
                <w:spacing w:val="0"/>
                <w:sz w:val="19"/>
                <w:szCs w:val="19"/>
                <w:bdr w:val="none" w:color="auto" w:sz="0" w:space="0"/>
              </w:rPr>
              <w:t>政府集中采购</w:t>
            </w:r>
          </w:p>
        </w:tc>
        <w:tc>
          <w:tcPr>
            <w:tcW w:w="2123"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Times New Roman" w:hAnsi="Times New Roman" w:eastAsia="sans-serif" w:cs="Times New Roman"/>
                <w:b w:val="0"/>
                <w:i w:val="0"/>
                <w:caps w:val="0"/>
                <w:color w:val="auto"/>
                <w:spacing w:val="0"/>
                <w:sz w:val="24"/>
                <w:szCs w:val="24"/>
                <w:bdr w:val="none" w:color="auto" w:sz="0" w:space="0"/>
              </w:rPr>
              <w:t>0</w:t>
            </w:r>
          </w:p>
        </w:tc>
        <w:tc>
          <w:tcPr>
            <w:tcW w:w="3033"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Times New Roman" w:hAnsi="Times New Roman" w:eastAsia="sans-serif" w:cs="Times New Roman"/>
                <w:b w:val="0"/>
                <w:i w:val="0"/>
                <w:caps w:val="0"/>
                <w:color w:val="auto"/>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c>
          <w:tcPr>
            <w:tcW w:w="298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180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31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121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181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r>
    </w:tbl>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textAlignment w:val="auto"/>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auto"/>
          <w:spacing w:val="0"/>
          <w:sz w:val="31"/>
          <w:szCs w:val="31"/>
        </w:rPr>
        <w:t>三、收到和处理政府信息公开申请情况      </w:t>
      </w:r>
    </w:p>
    <w:tbl>
      <w:tblPr>
        <w:tblW w:w="91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
      <w:tblGrid>
        <w:gridCol w:w="615"/>
        <w:gridCol w:w="825"/>
        <w:gridCol w:w="2259"/>
        <w:gridCol w:w="719"/>
        <w:gridCol w:w="749"/>
        <w:gridCol w:w="749"/>
        <w:gridCol w:w="883"/>
        <w:gridCol w:w="898"/>
        <w:gridCol w:w="719"/>
        <w:gridCol w:w="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45" w:hRule="atLeast"/>
        </w:trPr>
        <w:tc>
          <w:tcPr>
            <w:tcW w:w="3699" w:type="dxa"/>
            <w:gridSpan w:val="3"/>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（本列数据的勾稽关系为：第一项加第二项之和，等于第三项加第四项之和）</w:t>
            </w:r>
          </w:p>
        </w:tc>
        <w:tc>
          <w:tcPr>
            <w:tcW w:w="5436" w:type="dxa"/>
            <w:gridSpan w:val="7"/>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3699"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719"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自然人</w:t>
            </w:r>
          </w:p>
        </w:tc>
        <w:tc>
          <w:tcPr>
            <w:tcW w:w="3998"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法人或其他组织</w:t>
            </w:r>
          </w:p>
        </w:tc>
        <w:tc>
          <w:tcPr>
            <w:tcW w:w="719"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690" w:hRule="atLeast"/>
        </w:trPr>
        <w:tc>
          <w:tcPr>
            <w:tcW w:w="3699"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719"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商业企业</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科研机构</w:t>
            </w: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社会公益组织</w:t>
            </w: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法律服务机构</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其他</w:t>
            </w:r>
          </w:p>
        </w:tc>
        <w:tc>
          <w:tcPr>
            <w:tcW w:w="719"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45" w:hRule="atLeast"/>
        </w:trPr>
        <w:tc>
          <w:tcPr>
            <w:tcW w:w="3699"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b w:val="0"/>
                <w:i w:val="0"/>
                <w:caps w:val="0"/>
                <w:color w:val="auto"/>
                <w:spacing w:val="0"/>
                <w:sz w:val="19"/>
                <w:szCs w:val="19"/>
                <w:bdr w:val="none" w:color="auto" w:sz="0" w:space="0"/>
              </w:rPr>
              <w:t>一、本年新收政府信息公开申请数量</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Theme="majorEastAsia" w:hAnsiTheme="majorEastAsia" w:eastAsiaTheme="majorEastAsia" w:cstheme="majorEastAsia"/>
                <w:b w:val="0"/>
                <w:i w:val="0"/>
                <w:caps w:val="0"/>
                <w:color w:val="000000"/>
                <w:spacing w:val="0"/>
                <w:sz w:val="27"/>
                <w:szCs w:val="27"/>
                <w:lang w:val="en-US" w:eastAsia="zh-CN"/>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Theme="majorEastAsia" w:hAnsiTheme="majorEastAsia" w:eastAsiaTheme="majorEastAsia" w:cstheme="majorEastAsia"/>
                <w:b w:val="0"/>
                <w:i w:val="0"/>
                <w:caps w:val="0"/>
                <w:color w:val="000000"/>
                <w:spacing w:val="0"/>
                <w:sz w:val="27"/>
                <w:szCs w:val="27"/>
                <w:lang w:val="en-US" w:eastAsia="zh-CN"/>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Theme="majorEastAsia" w:hAnsiTheme="majorEastAsia" w:eastAsiaTheme="majorEastAsia" w:cstheme="majorEastAsia"/>
                <w:b w:val="0"/>
                <w:i w:val="0"/>
                <w:caps w:val="0"/>
                <w:color w:val="000000"/>
                <w:spacing w:val="0"/>
                <w:sz w:val="27"/>
                <w:szCs w:val="27"/>
                <w:lang w:val="en-US" w:eastAsia="zh-CN"/>
              </w:rPr>
              <w:t>0</w:t>
            </w: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Theme="majorEastAsia" w:hAnsiTheme="majorEastAsia" w:eastAsiaTheme="majorEastAsia" w:cstheme="majorEastAsia"/>
                <w:b w:val="0"/>
                <w:i w:val="0"/>
                <w:caps w:val="0"/>
                <w:color w:val="000000"/>
                <w:spacing w:val="0"/>
                <w:sz w:val="27"/>
                <w:szCs w:val="27"/>
                <w:lang w:val="en-US" w:eastAsia="zh-CN"/>
              </w:rPr>
              <w:t>0</w:t>
            </w: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Theme="majorEastAsia" w:hAnsiTheme="majorEastAsia" w:eastAsiaTheme="majorEastAsia" w:cstheme="majorEastAsia"/>
                <w:b w:val="0"/>
                <w:i w:val="0"/>
                <w:caps w:val="0"/>
                <w:color w:val="000000"/>
                <w:spacing w:val="0"/>
                <w:sz w:val="27"/>
                <w:szCs w:val="27"/>
                <w:lang w:val="en-US" w:eastAsia="zh-CN"/>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Theme="majorEastAsia" w:hAnsiTheme="majorEastAsia" w:eastAsiaTheme="majorEastAsia" w:cstheme="majorEastAsia"/>
                <w:b w:val="0"/>
                <w:i w:val="0"/>
                <w:caps w:val="0"/>
                <w:color w:val="000000"/>
                <w:spacing w:val="0"/>
                <w:sz w:val="27"/>
                <w:szCs w:val="27"/>
                <w:lang w:val="en-US" w:eastAsia="zh-CN"/>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Theme="majorEastAsia" w:hAnsiTheme="majorEastAsia" w:eastAsiaTheme="majorEastAsia" w:cstheme="majorEastAsia"/>
                <w:b w:val="0"/>
                <w:i w:val="0"/>
                <w:caps w:val="0"/>
                <w:color w:val="000000"/>
                <w:spacing w:val="0"/>
                <w:sz w:val="27"/>
                <w:szCs w:val="27"/>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45" w:hRule="atLeast"/>
        </w:trPr>
        <w:tc>
          <w:tcPr>
            <w:tcW w:w="3699"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b w:val="0"/>
                <w:i w:val="0"/>
                <w:caps w:val="0"/>
                <w:color w:val="auto"/>
                <w:spacing w:val="0"/>
                <w:sz w:val="19"/>
                <w:szCs w:val="19"/>
                <w:bdr w:val="none" w:color="auto" w:sz="0" w:space="0"/>
              </w:rPr>
              <w:t>二、上年结转政府信息公开申请数量</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45" w:hRule="atLeast"/>
        </w:trPr>
        <w:tc>
          <w:tcPr>
            <w:tcW w:w="61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三、本年度办理结果</w:t>
            </w:r>
          </w:p>
        </w:tc>
        <w:tc>
          <w:tcPr>
            <w:tcW w:w="3084"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ascii="楷体" w:hAnsi="楷体" w:eastAsia="楷体" w:cs="楷体"/>
                <w:b w:val="0"/>
                <w:i w:val="0"/>
                <w:caps w:val="0"/>
                <w:color w:val="auto"/>
                <w:spacing w:val="0"/>
                <w:sz w:val="19"/>
                <w:szCs w:val="19"/>
                <w:bdr w:val="none" w:color="auto" w:sz="0" w:space="0"/>
              </w:rPr>
              <w:t>（一）予以公开</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705"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3084"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楷体" w:hAnsi="楷体" w:eastAsia="楷体" w:cs="楷体"/>
                <w:b w:val="0"/>
                <w:i w:val="0"/>
                <w:caps w:val="0"/>
                <w:color w:val="auto"/>
                <w:spacing w:val="0"/>
                <w:sz w:val="19"/>
                <w:szCs w:val="19"/>
                <w:bdr w:val="none" w:color="auto" w:sz="0" w:space="0"/>
              </w:rPr>
              <w:t>（二）部分公开（区分处理的，只计这一情形，不计其他情形）</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60"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楷体" w:hAnsi="楷体" w:eastAsia="楷体" w:cs="楷体"/>
                <w:b w:val="0"/>
                <w:i w:val="0"/>
                <w:caps w:val="0"/>
                <w:color w:val="auto"/>
                <w:spacing w:val="0"/>
                <w:sz w:val="19"/>
                <w:szCs w:val="19"/>
                <w:bdr w:val="none" w:color="auto" w:sz="0" w:space="0"/>
              </w:rPr>
              <w:t>（三）不予公开</w:t>
            </w:r>
          </w:p>
        </w:tc>
        <w:tc>
          <w:tcPr>
            <w:tcW w:w="22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default" w:ascii="Times New Roman" w:hAnsi="Times New Roman" w:eastAsia="sans-serif" w:cs="Times New Roman"/>
                <w:b w:val="0"/>
                <w:i w:val="0"/>
                <w:caps w:val="0"/>
                <w:color w:val="auto"/>
                <w:spacing w:val="0"/>
                <w:sz w:val="19"/>
                <w:szCs w:val="19"/>
                <w:bdr w:val="none" w:color="auto" w:sz="0" w:space="0"/>
              </w:rPr>
              <w:t>1.属于国家秘密</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690"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default" w:ascii="Times New Roman" w:hAnsi="Times New Roman" w:eastAsia="sans-serif" w:cs="Times New Roman"/>
                <w:b w:val="0"/>
                <w:i w:val="0"/>
                <w:caps w:val="0"/>
                <w:color w:val="auto"/>
                <w:spacing w:val="0"/>
                <w:sz w:val="19"/>
                <w:szCs w:val="19"/>
                <w:bdr w:val="none" w:color="auto" w:sz="0" w:space="0"/>
              </w:rPr>
              <w:t>2.其他法律行政法规禁止公开</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default" w:ascii="Times New Roman" w:hAnsi="Times New Roman" w:eastAsia="sans-serif" w:cs="Times New Roman"/>
                <w:b w:val="0"/>
                <w:i w:val="0"/>
                <w:caps w:val="0"/>
                <w:color w:val="auto"/>
                <w:spacing w:val="0"/>
                <w:sz w:val="19"/>
                <w:szCs w:val="19"/>
                <w:bdr w:val="none" w:color="auto" w:sz="0" w:space="0"/>
              </w:rPr>
              <w:t>3.危及“三安全一稳定”</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45"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default" w:ascii="Times New Roman" w:hAnsi="Times New Roman" w:eastAsia="sans-serif" w:cs="Times New Roman"/>
                <w:b w:val="0"/>
                <w:i w:val="0"/>
                <w:caps w:val="0"/>
                <w:color w:val="auto"/>
                <w:spacing w:val="0"/>
                <w:sz w:val="19"/>
                <w:szCs w:val="19"/>
                <w:bdr w:val="none" w:color="auto" w:sz="0" w:space="0"/>
              </w:rPr>
              <w:t>4.保护第三方合法权益</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690"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default" w:ascii="Times New Roman" w:hAnsi="Times New Roman" w:eastAsia="sans-serif" w:cs="Times New Roman"/>
                <w:b w:val="0"/>
                <w:i w:val="0"/>
                <w:caps w:val="0"/>
                <w:color w:val="auto"/>
                <w:spacing w:val="0"/>
                <w:sz w:val="19"/>
                <w:szCs w:val="19"/>
                <w:bdr w:val="none" w:color="auto" w:sz="0" w:space="0"/>
              </w:rPr>
              <w:t>5.属于三类内部事务信息</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default" w:ascii="Times New Roman" w:hAnsi="Times New Roman" w:eastAsia="sans-serif" w:cs="Times New Roman"/>
                <w:b w:val="0"/>
                <w:i w:val="0"/>
                <w:caps w:val="0"/>
                <w:color w:val="auto"/>
                <w:spacing w:val="0"/>
                <w:sz w:val="19"/>
                <w:szCs w:val="19"/>
                <w:bdr w:val="none" w:color="auto" w:sz="0" w:space="0"/>
              </w:rPr>
              <w:t>6.属于四类过程性信息</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45"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default" w:ascii="Times New Roman" w:hAnsi="Times New Roman" w:eastAsia="sans-serif" w:cs="Times New Roman"/>
                <w:b w:val="0"/>
                <w:i w:val="0"/>
                <w:caps w:val="0"/>
                <w:color w:val="auto"/>
                <w:spacing w:val="0"/>
                <w:sz w:val="19"/>
                <w:szCs w:val="19"/>
                <w:bdr w:val="none" w:color="auto" w:sz="0" w:space="0"/>
              </w:rPr>
              <w:t>7.属于行政执法案卷</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default" w:ascii="Times New Roman" w:hAnsi="Times New Roman" w:eastAsia="sans-serif" w:cs="Times New Roman"/>
                <w:b w:val="0"/>
                <w:i w:val="0"/>
                <w:caps w:val="0"/>
                <w:color w:val="auto"/>
                <w:spacing w:val="0"/>
                <w:sz w:val="19"/>
                <w:szCs w:val="19"/>
                <w:bdr w:val="none" w:color="auto" w:sz="0" w:space="0"/>
              </w:rPr>
              <w:t>8.属于行政查询事项</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705"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楷体" w:hAnsi="楷体" w:eastAsia="楷体" w:cs="楷体"/>
                <w:b w:val="0"/>
                <w:i w:val="0"/>
                <w:caps w:val="0"/>
                <w:color w:val="auto"/>
                <w:spacing w:val="0"/>
                <w:sz w:val="19"/>
                <w:szCs w:val="19"/>
                <w:bdr w:val="none" w:color="auto" w:sz="0" w:space="0"/>
              </w:rPr>
              <w:t>（四）无法提供</w:t>
            </w:r>
          </w:p>
        </w:tc>
        <w:tc>
          <w:tcPr>
            <w:tcW w:w="22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default" w:ascii="Times New Roman" w:hAnsi="Times New Roman" w:eastAsia="sans-serif" w:cs="Times New Roman"/>
                <w:b w:val="0"/>
                <w:i w:val="0"/>
                <w:caps w:val="0"/>
                <w:color w:val="auto"/>
                <w:spacing w:val="0"/>
                <w:sz w:val="19"/>
                <w:szCs w:val="19"/>
                <w:bdr w:val="none" w:color="auto" w:sz="0" w:space="0"/>
              </w:rPr>
              <w:t>1.本机关不掌握相关政府信息</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690"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default" w:ascii="Times New Roman" w:hAnsi="Times New Roman" w:eastAsia="sans-serif" w:cs="Times New Roman"/>
                <w:b w:val="0"/>
                <w:i w:val="0"/>
                <w:caps w:val="0"/>
                <w:color w:val="auto"/>
                <w:spacing w:val="0"/>
                <w:sz w:val="19"/>
                <w:szCs w:val="19"/>
                <w:bdr w:val="none" w:color="auto" w:sz="0" w:space="0"/>
              </w:rPr>
              <w:t>2.没有现成信息需要另行制作</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705"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default" w:ascii="Times New Roman" w:hAnsi="Times New Roman" w:eastAsia="sans-serif" w:cs="Times New Roman"/>
                <w:b w:val="0"/>
                <w:i w:val="0"/>
                <w:caps w:val="0"/>
                <w:color w:val="auto"/>
                <w:spacing w:val="0"/>
                <w:sz w:val="19"/>
                <w:szCs w:val="19"/>
                <w:bdr w:val="none" w:color="auto" w:sz="0" w:space="0"/>
              </w:rPr>
              <w:t>3.补正后申请内容仍不明确</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45"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楷体" w:hAnsi="楷体" w:eastAsia="楷体" w:cs="楷体"/>
                <w:b w:val="0"/>
                <w:i w:val="0"/>
                <w:caps w:val="0"/>
                <w:color w:val="auto"/>
                <w:spacing w:val="0"/>
                <w:sz w:val="19"/>
                <w:szCs w:val="19"/>
                <w:bdr w:val="none" w:color="auto" w:sz="0" w:space="0"/>
              </w:rPr>
              <w:t>（五）不予处理</w:t>
            </w:r>
          </w:p>
        </w:tc>
        <w:tc>
          <w:tcPr>
            <w:tcW w:w="22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default" w:ascii="Times New Roman" w:hAnsi="Times New Roman" w:eastAsia="sans-serif" w:cs="Times New Roman"/>
                <w:b w:val="0"/>
                <w:i w:val="0"/>
                <w:caps w:val="0"/>
                <w:color w:val="auto"/>
                <w:spacing w:val="0"/>
                <w:sz w:val="19"/>
                <w:szCs w:val="19"/>
                <w:bdr w:val="none" w:color="auto" w:sz="0" w:space="0"/>
              </w:rPr>
              <w:t>1.信访举报投诉类申请</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default" w:ascii="Times New Roman" w:hAnsi="Times New Roman" w:eastAsia="sans-serif" w:cs="Times New Roman"/>
                <w:b w:val="0"/>
                <w:i w:val="0"/>
                <w:caps w:val="0"/>
                <w:color w:val="auto"/>
                <w:spacing w:val="0"/>
                <w:sz w:val="19"/>
                <w:szCs w:val="19"/>
                <w:bdr w:val="none" w:color="auto" w:sz="0" w:space="0"/>
              </w:rPr>
              <w:t>2.重复申请</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default" w:ascii="Times New Roman" w:hAnsi="Times New Roman" w:eastAsia="sans-serif" w:cs="Times New Roman"/>
                <w:b w:val="0"/>
                <w:i w:val="0"/>
                <w:caps w:val="0"/>
                <w:color w:val="auto"/>
                <w:spacing w:val="0"/>
                <w:sz w:val="19"/>
                <w:szCs w:val="19"/>
                <w:bdr w:val="none" w:color="auto" w:sz="0" w:space="0"/>
              </w:rPr>
              <w:t>3.要求提供公开出版物</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705"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default" w:ascii="Times New Roman" w:hAnsi="Times New Roman" w:eastAsia="sans-serif" w:cs="Times New Roman"/>
                <w:b w:val="0"/>
                <w:i w:val="0"/>
                <w:caps w:val="0"/>
                <w:color w:val="auto"/>
                <w:spacing w:val="0"/>
                <w:sz w:val="19"/>
                <w:szCs w:val="19"/>
                <w:bdr w:val="none" w:color="auto" w:sz="0" w:space="0"/>
              </w:rPr>
              <w:t>4.无正当理由大量反复申请</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690"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default" w:ascii="Times New Roman" w:hAnsi="Times New Roman" w:eastAsia="sans-serif" w:cs="Times New Roman"/>
                <w:b w:val="0"/>
                <w:i w:val="0"/>
                <w:caps w:val="0"/>
                <w:color w:val="auto"/>
                <w:spacing w:val="0"/>
                <w:sz w:val="19"/>
                <w:szCs w:val="19"/>
                <w:bdr w:val="none" w:color="auto" w:sz="0" w:space="0"/>
              </w:rPr>
              <w:t>5.要求行政机关确认或重新出具已获取信息</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3084"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楷体" w:hAnsi="楷体" w:eastAsia="楷体" w:cs="楷体"/>
                <w:b w:val="0"/>
                <w:i w:val="0"/>
                <w:caps w:val="0"/>
                <w:color w:val="auto"/>
                <w:spacing w:val="0"/>
                <w:sz w:val="19"/>
                <w:szCs w:val="19"/>
                <w:bdr w:val="none" w:color="auto" w:sz="0" w:space="0"/>
              </w:rPr>
              <w:t>（六）其他处理</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60"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3084"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楷体" w:hAnsi="楷体" w:eastAsia="楷体" w:cs="楷体"/>
                <w:b w:val="0"/>
                <w:i w:val="0"/>
                <w:caps w:val="0"/>
                <w:color w:val="auto"/>
                <w:spacing w:val="0"/>
                <w:sz w:val="19"/>
                <w:szCs w:val="19"/>
                <w:bdr w:val="none" w:color="auto" w:sz="0" w:space="0"/>
              </w:rPr>
              <w:t>（七）总计</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Theme="majorEastAsia" w:hAnsiTheme="majorEastAsia" w:eastAsiaTheme="majorEastAsia" w:cstheme="majorEastAsia"/>
                <w:b w:val="0"/>
                <w:i w:val="0"/>
                <w:caps w:val="0"/>
                <w:color w:val="000000"/>
                <w:spacing w:val="0"/>
                <w:sz w:val="27"/>
                <w:szCs w:val="27"/>
                <w:lang w:val="en-US" w:eastAsia="zh-CN"/>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Theme="majorEastAsia" w:hAnsiTheme="majorEastAsia" w:eastAsiaTheme="majorEastAsia" w:cstheme="majorEastAsia"/>
                <w:b w:val="0"/>
                <w:i w:val="0"/>
                <w:caps w:val="0"/>
                <w:color w:val="000000"/>
                <w:spacing w:val="0"/>
                <w:sz w:val="27"/>
                <w:szCs w:val="27"/>
                <w:lang w:val="en-US" w:eastAsia="zh-CN"/>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Theme="majorEastAsia" w:hAnsiTheme="majorEastAsia" w:eastAsiaTheme="majorEastAsia" w:cstheme="majorEastAsia"/>
                <w:b w:val="0"/>
                <w:i w:val="0"/>
                <w:caps w:val="0"/>
                <w:color w:val="000000"/>
                <w:spacing w:val="0"/>
                <w:sz w:val="27"/>
                <w:szCs w:val="27"/>
                <w:lang w:val="en-US" w:eastAsia="zh-CN"/>
              </w:rPr>
              <w:t>0</w:t>
            </w: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Theme="majorEastAsia" w:hAnsiTheme="majorEastAsia" w:eastAsiaTheme="majorEastAsia" w:cstheme="majorEastAsia"/>
                <w:b w:val="0"/>
                <w:i w:val="0"/>
                <w:caps w:val="0"/>
                <w:color w:val="000000"/>
                <w:spacing w:val="0"/>
                <w:sz w:val="27"/>
                <w:szCs w:val="27"/>
                <w:lang w:val="en-US" w:eastAsia="zh-CN"/>
              </w:rPr>
              <w:t>0</w:t>
            </w: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Theme="majorEastAsia" w:hAnsiTheme="majorEastAsia" w:eastAsiaTheme="majorEastAsia" w:cstheme="majorEastAsia"/>
                <w:b w:val="0"/>
                <w:i w:val="0"/>
                <w:caps w:val="0"/>
                <w:color w:val="000000"/>
                <w:spacing w:val="0"/>
                <w:sz w:val="27"/>
                <w:szCs w:val="27"/>
                <w:lang w:val="en-US" w:eastAsia="zh-CN"/>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Theme="majorEastAsia" w:hAnsiTheme="majorEastAsia" w:eastAsiaTheme="majorEastAsia" w:cstheme="majorEastAsia"/>
                <w:b w:val="0"/>
                <w:i w:val="0"/>
                <w:caps w:val="0"/>
                <w:color w:val="000000"/>
                <w:spacing w:val="0"/>
                <w:sz w:val="27"/>
                <w:szCs w:val="27"/>
                <w:lang w:val="en-US" w:eastAsia="zh-CN"/>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Theme="majorEastAsia" w:hAnsiTheme="majorEastAsia" w:eastAsiaTheme="majorEastAsia" w:cstheme="majorEastAsia"/>
                <w:b w:val="0"/>
                <w:i w:val="0"/>
                <w:caps w:val="0"/>
                <w:color w:val="000000"/>
                <w:spacing w:val="0"/>
                <w:sz w:val="27"/>
                <w:szCs w:val="27"/>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80" w:hRule="atLeast"/>
        </w:trPr>
        <w:tc>
          <w:tcPr>
            <w:tcW w:w="3699"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b w:val="0"/>
                <w:i w:val="0"/>
                <w:caps w:val="0"/>
                <w:color w:val="auto"/>
                <w:spacing w:val="0"/>
                <w:sz w:val="19"/>
                <w:szCs w:val="19"/>
                <w:bdr w:val="none" w:color="auto" w:sz="0" w:space="0"/>
              </w:rPr>
              <w:t>四、结转下年度继续办理          </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c>
          <w:tcPr>
            <w:tcW w:w="61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2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225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8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9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r>
    </w:tbl>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textAlignment w:val="auto"/>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auto"/>
          <w:spacing w:val="0"/>
          <w:sz w:val="31"/>
          <w:szCs w:val="31"/>
        </w:rPr>
        <w:t>四、政府信息公开行政复议、行政诉讼情况</w:t>
      </w:r>
    </w:p>
    <w:tbl>
      <w:tblPr>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c>
          <w:tcPr>
            <w:tcW w:w="307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行政复议</w:t>
            </w:r>
          </w:p>
        </w:tc>
        <w:tc>
          <w:tcPr>
            <w:tcW w:w="6000" w:type="dxa"/>
            <w:gridSpan w:val="10"/>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c>
          <w:tcPr>
            <w:tcW w:w="60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结果维持</w:t>
            </w:r>
          </w:p>
        </w:tc>
        <w:tc>
          <w:tcPr>
            <w:tcW w:w="60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结果纠正</w:t>
            </w:r>
          </w:p>
        </w:tc>
        <w:tc>
          <w:tcPr>
            <w:tcW w:w="60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其他结果</w:t>
            </w:r>
          </w:p>
        </w:tc>
        <w:tc>
          <w:tcPr>
            <w:tcW w:w="60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尚未审结</w:t>
            </w:r>
          </w:p>
        </w:tc>
        <w:tc>
          <w:tcPr>
            <w:tcW w:w="67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总计</w:t>
            </w:r>
          </w:p>
        </w:tc>
        <w:tc>
          <w:tcPr>
            <w:tcW w:w="2970"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未经复议直接起诉</w:t>
            </w:r>
          </w:p>
        </w:tc>
        <w:tc>
          <w:tcPr>
            <w:tcW w:w="3030"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c>
          <w:tcPr>
            <w:tcW w:w="6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6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6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6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67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5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结果维持</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结果纠正</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其他结果</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尚未审结</w:t>
            </w:r>
          </w:p>
        </w:tc>
        <w:tc>
          <w:tcPr>
            <w:tcW w:w="6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总计</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结果维持</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结果纠正</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其他结果</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尚未审结</w:t>
            </w:r>
          </w:p>
        </w:tc>
        <w:tc>
          <w:tcPr>
            <w:tcW w:w="6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auto"/>
                <w:spacing w:val="0"/>
                <w:sz w:val="19"/>
                <w:szCs w:val="19"/>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945" w:hRule="atLeast"/>
        </w:trPr>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Theme="majorEastAsia" w:hAnsiTheme="majorEastAsia" w:eastAsiaTheme="majorEastAsia" w:cstheme="majorEastAsia"/>
                <w:b w:val="0"/>
                <w:i w:val="0"/>
                <w:caps w:val="0"/>
                <w:color w:val="000000"/>
                <w:spacing w:val="0"/>
                <w:sz w:val="27"/>
                <w:szCs w:val="27"/>
                <w:lang w:val="en-US" w:eastAsia="zh-CN"/>
              </w:rPr>
            </w:pPr>
            <w:r>
              <w:rPr>
                <w:rFonts w:hint="eastAsia" w:asciiTheme="majorEastAsia" w:hAnsiTheme="majorEastAsia" w:eastAsiaTheme="majorEastAsia" w:cstheme="majorEastAsia"/>
                <w:b w:val="0"/>
                <w:i w:val="0"/>
                <w:caps w:val="0"/>
                <w:color w:val="000000"/>
                <w:spacing w:val="0"/>
                <w:sz w:val="27"/>
                <w:szCs w:val="27"/>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Theme="majorEastAsia" w:hAnsiTheme="majorEastAsia" w:eastAsiaTheme="majorEastAsia" w:cstheme="majorEastAsia"/>
                <w:b w:val="0"/>
                <w:i w:val="0"/>
                <w:caps w:val="0"/>
                <w:color w:val="000000"/>
                <w:spacing w:val="0"/>
                <w:sz w:val="27"/>
                <w:szCs w:val="27"/>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Theme="majorEastAsia" w:hAnsiTheme="majorEastAsia" w:eastAsiaTheme="majorEastAsia" w:cstheme="majorEastAsia"/>
                <w:b w:val="0"/>
                <w:i w:val="0"/>
                <w:caps w:val="0"/>
                <w:color w:val="000000"/>
                <w:spacing w:val="0"/>
                <w:sz w:val="27"/>
                <w:szCs w:val="27"/>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Theme="majorEastAsia" w:hAnsiTheme="majorEastAsia" w:eastAsiaTheme="majorEastAsia" w:cstheme="majorEastAsia"/>
                <w:b w:val="0"/>
                <w:i w:val="0"/>
                <w:caps w:val="0"/>
                <w:color w:val="000000"/>
                <w:spacing w:val="0"/>
                <w:sz w:val="27"/>
                <w:szCs w:val="27"/>
                <w:lang w:val="en-US" w:eastAsia="zh-CN"/>
              </w:rPr>
              <w:t>0</w:t>
            </w:r>
          </w:p>
        </w:tc>
        <w:tc>
          <w:tcPr>
            <w:tcW w:w="6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Theme="majorEastAsia" w:hAnsiTheme="majorEastAsia" w:eastAsiaTheme="majorEastAsia" w:cstheme="majorEastAsia"/>
                <w:b w:val="0"/>
                <w:i w:val="0"/>
                <w:caps w:val="0"/>
                <w:color w:val="000000"/>
                <w:spacing w:val="0"/>
                <w:sz w:val="27"/>
                <w:szCs w:val="27"/>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Theme="majorEastAsia" w:hAnsiTheme="majorEastAsia" w:eastAsiaTheme="majorEastAsia" w:cstheme="majorEastAsia"/>
                <w:b w:val="0"/>
                <w:i w:val="0"/>
                <w:caps w:val="0"/>
                <w:color w:val="000000"/>
                <w:spacing w:val="0"/>
                <w:sz w:val="27"/>
                <w:szCs w:val="27"/>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Theme="majorEastAsia" w:hAnsiTheme="majorEastAsia" w:eastAsiaTheme="majorEastAsia" w:cstheme="majorEastAsia"/>
                <w:b w:val="0"/>
                <w:i w:val="0"/>
                <w:caps w:val="0"/>
                <w:color w:val="000000"/>
                <w:spacing w:val="0"/>
                <w:sz w:val="27"/>
                <w:szCs w:val="27"/>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Theme="majorEastAsia" w:hAnsiTheme="majorEastAsia" w:eastAsiaTheme="majorEastAsia" w:cstheme="majorEastAsia"/>
                <w:b w:val="0"/>
                <w:i w:val="0"/>
                <w:caps w:val="0"/>
                <w:color w:val="000000"/>
                <w:spacing w:val="0"/>
                <w:sz w:val="27"/>
                <w:szCs w:val="27"/>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Theme="majorEastAsia" w:hAnsiTheme="majorEastAsia" w:eastAsiaTheme="majorEastAsia" w:cstheme="majorEastAsia"/>
                <w:b w:val="0"/>
                <w:i w:val="0"/>
                <w:caps w:val="0"/>
                <w:color w:val="000000"/>
                <w:spacing w:val="0"/>
                <w:sz w:val="27"/>
                <w:szCs w:val="27"/>
                <w:lang w:val="en-US" w:eastAsia="zh-CN"/>
              </w:rPr>
              <w:t>0</w:t>
            </w:r>
          </w:p>
        </w:tc>
        <w:tc>
          <w:tcPr>
            <w:tcW w:w="6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Theme="majorEastAsia" w:hAnsiTheme="majorEastAsia" w:eastAsiaTheme="majorEastAsia" w:cstheme="majorEastAsia"/>
                <w:b w:val="0"/>
                <w:i w:val="0"/>
                <w:caps w:val="0"/>
                <w:color w:val="000000"/>
                <w:spacing w:val="0"/>
                <w:sz w:val="27"/>
                <w:szCs w:val="27"/>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Theme="majorEastAsia" w:hAnsiTheme="majorEastAsia" w:eastAsiaTheme="majorEastAsia" w:cstheme="majorEastAsia"/>
                <w:b w:val="0"/>
                <w:i w:val="0"/>
                <w:caps w:val="0"/>
                <w:color w:val="000000"/>
                <w:spacing w:val="0"/>
                <w:sz w:val="27"/>
                <w:szCs w:val="27"/>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Theme="majorEastAsia" w:hAnsiTheme="majorEastAsia" w:eastAsiaTheme="majorEastAsia" w:cstheme="majorEastAsia"/>
                <w:b w:val="0"/>
                <w:i w:val="0"/>
                <w:caps w:val="0"/>
                <w:color w:val="000000"/>
                <w:spacing w:val="0"/>
                <w:sz w:val="27"/>
                <w:szCs w:val="27"/>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Theme="majorEastAsia" w:hAnsiTheme="majorEastAsia" w:eastAsiaTheme="majorEastAsia" w:cstheme="majorEastAsia"/>
                <w:b w:val="0"/>
                <w:i w:val="0"/>
                <w:caps w:val="0"/>
                <w:color w:val="000000"/>
                <w:spacing w:val="0"/>
                <w:sz w:val="27"/>
                <w:szCs w:val="27"/>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Theme="majorEastAsia" w:hAnsiTheme="majorEastAsia" w:eastAsiaTheme="majorEastAsia" w:cstheme="majorEastAsia"/>
                <w:b w:val="0"/>
                <w:i w:val="0"/>
                <w:caps w:val="0"/>
                <w:color w:val="000000"/>
                <w:spacing w:val="0"/>
                <w:sz w:val="27"/>
                <w:szCs w:val="27"/>
                <w:lang w:val="en-US" w:eastAsia="zh-CN"/>
              </w:rPr>
              <w:t>0</w:t>
            </w:r>
          </w:p>
        </w:tc>
        <w:tc>
          <w:tcPr>
            <w:tcW w:w="6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Theme="majorEastAsia" w:hAnsiTheme="majorEastAsia" w:eastAsiaTheme="majorEastAsia" w:cstheme="majorEastAsia"/>
                <w:b w:val="0"/>
                <w:i w:val="0"/>
                <w:caps w:val="0"/>
                <w:color w:val="000000"/>
                <w:spacing w:val="0"/>
                <w:sz w:val="27"/>
                <w:szCs w:val="27"/>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c>
          <w:tcPr>
            <w:tcW w:w="6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6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6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6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67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55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6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6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6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61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6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6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6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6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6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r>
    </w:tbl>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textAlignment w:val="auto"/>
        <w:rPr>
          <w:rFonts w:hint="default" w:ascii="sans-serif" w:hAnsi="sans-serif" w:eastAsia="sans-serif" w:cs="sans-serif"/>
          <w:b w:val="0"/>
          <w:i w:val="0"/>
          <w:caps w:val="0"/>
          <w:color w:val="000000"/>
          <w:spacing w:val="0"/>
          <w:sz w:val="27"/>
          <w:szCs w:val="27"/>
        </w:rPr>
      </w:pPr>
      <w:r>
        <w:rPr>
          <w:rFonts w:hint="eastAsia" w:ascii="宋体" w:hAnsi="宋体" w:eastAsia="宋体" w:cs="宋体"/>
          <w:b w:val="0"/>
          <w:i w:val="0"/>
          <w:caps w:val="0"/>
          <w:color w:val="auto"/>
          <w:spacing w:val="0"/>
          <w:sz w:val="27"/>
          <w:szCs w:val="27"/>
        </w:rPr>
        <w:t>  五、存在的主要问题及改进情况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textAlignment w:val="auto"/>
        <w:rPr>
          <w:rFonts w:hint="default" w:ascii="sans-serif" w:hAnsi="sans-serif" w:eastAsia="sans-serif" w:cs="sans-serif"/>
          <w:b w:val="0"/>
          <w:i w:val="0"/>
          <w:caps w:val="0"/>
          <w:color w:val="000000"/>
          <w:spacing w:val="0"/>
          <w:sz w:val="27"/>
          <w:szCs w:val="27"/>
        </w:rPr>
      </w:pPr>
      <w:r>
        <w:rPr>
          <w:rFonts w:hint="eastAsia" w:ascii="宋体" w:hAnsi="宋体" w:eastAsia="宋体" w:cs="宋体"/>
          <w:b w:val="0"/>
          <w:i w:val="0"/>
          <w:caps w:val="0"/>
          <w:color w:val="auto"/>
          <w:spacing w:val="0"/>
          <w:sz w:val="27"/>
          <w:szCs w:val="27"/>
        </w:rPr>
        <w:t>  目前，信息公开工作存在的问题：一是公开信息的时效性不够强；二是主动公开政府信息的数量还需要增加，公开的内容需要进一步细化；三是宣传和引导工作需要进一步加强，提升政府信息公开工作的认识程度，满足公众对政府信息的需求。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645"/>
        <w:textAlignment w:val="auto"/>
        <w:rPr>
          <w:rFonts w:hint="default" w:ascii="sans-serif" w:hAnsi="sans-serif" w:eastAsia="sans-serif" w:cs="sans-serif"/>
          <w:b w:val="0"/>
          <w:i w:val="0"/>
          <w:caps w:val="0"/>
          <w:color w:val="000000"/>
          <w:spacing w:val="0"/>
          <w:sz w:val="27"/>
          <w:szCs w:val="27"/>
        </w:rPr>
      </w:pPr>
      <w:r>
        <w:rPr>
          <w:rFonts w:hint="eastAsia" w:ascii="宋体" w:hAnsi="宋体" w:eastAsia="宋体" w:cs="宋体"/>
          <w:b w:val="0"/>
          <w:i w:val="0"/>
          <w:caps w:val="0"/>
          <w:color w:val="auto"/>
          <w:spacing w:val="0"/>
          <w:sz w:val="27"/>
          <w:szCs w:val="27"/>
        </w:rPr>
        <w:t>针对上述问题做出以下几点改进措施：一是加强信息公开负责部门与机关内部各部门之间联系，及时将部门生成的信息发布到网上，尽量做到信息生成与发布保持同步；二是进一步解放思想，扩大信息公开的范围，除正式文件外，对社会公众有指导或帮助意义的信息也要纳入信息公开的范畴之中予以发布；三是加大对信息公开工作的宣传力度，使社会公众对这项工作有进一步的了解和更深的认识，引导公众正确使用信息公开这种新兴的政府服务职能，为自己的生活、工作提供便利。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645"/>
        <w:textAlignment w:val="auto"/>
        <w:rPr>
          <w:rFonts w:hint="default" w:ascii="sans-serif" w:hAnsi="sans-serif" w:eastAsia="sans-serif" w:cs="sans-serif"/>
          <w:b w:val="0"/>
          <w:i w:val="0"/>
          <w:caps w:val="0"/>
          <w:color w:val="000000"/>
          <w:spacing w:val="0"/>
          <w:sz w:val="27"/>
          <w:szCs w:val="27"/>
        </w:rPr>
      </w:pPr>
      <w:r>
        <w:rPr>
          <w:rFonts w:hint="eastAsia" w:ascii="宋体" w:hAnsi="宋体" w:eastAsia="宋体" w:cs="宋体"/>
          <w:b w:val="0"/>
          <w:i w:val="0"/>
          <w:caps w:val="0"/>
          <w:color w:val="auto"/>
          <w:spacing w:val="0"/>
          <w:sz w:val="27"/>
          <w:szCs w:val="27"/>
        </w:rPr>
        <w:t>六、其他需要报告的事项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645"/>
        <w:textAlignment w:val="auto"/>
        <w:rPr>
          <w:rFonts w:hint="default" w:ascii="sans-serif" w:hAnsi="sans-serif" w:eastAsia="sans-serif" w:cs="sans-serif"/>
          <w:b w:val="0"/>
          <w:i w:val="0"/>
          <w:caps w:val="0"/>
          <w:color w:val="000000"/>
          <w:spacing w:val="0"/>
          <w:sz w:val="27"/>
          <w:szCs w:val="27"/>
        </w:rPr>
      </w:pPr>
      <w:r>
        <w:rPr>
          <w:rFonts w:hint="eastAsia" w:ascii="宋体" w:hAnsi="宋体" w:eastAsia="宋体" w:cs="宋体"/>
          <w:b w:val="0"/>
          <w:i w:val="0"/>
          <w:caps w:val="0"/>
          <w:color w:val="auto"/>
          <w:spacing w:val="0"/>
          <w:sz w:val="27"/>
          <w:szCs w:val="27"/>
        </w:rPr>
        <w:t>无。   </w:t>
      </w:r>
      <w:r>
        <w:rPr>
          <w:rFonts w:ascii="仿宋_GB2312" w:hAnsi="sans-serif" w:eastAsia="仿宋_GB2312" w:cs="仿宋_GB2312"/>
          <w:b w:val="0"/>
          <w:i w:val="0"/>
          <w:caps w:val="0"/>
          <w:color w:val="auto"/>
          <w:spacing w:val="0"/>
          <w:sz w:val="31"/>
          <w:szCs w:val="31"/>
        </w:rPr>
        <w:t>   </w:t>
      </w:r>
    </w:p>
    <w:p>
      <w:pPr>
        <w:keepNext w:val="0"/>
        <w:keepLines w:val="0"/>
        <w:pageBreakBefore w:val="0"/>
        <w:kinsoku/>
        <w:overflowPunct/>
        <w:topLinePunct w:val="0"/>
        <w:autoSpaceDE/>
        <w:autoSpaceDN/>
        <w:bidi w:val="0"/>
        <w:adjustRightInd/>
        <w:snapToGrid/>
        <w:spacing w:beforeAutospacing="0" w:afterAutospacing="0" w:line="240" w:lineRule="auto"/>
        <w:textAlignment w:val="auto"/>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12A1C"/>
    <w:rsid w:val="04E722E7"/>
    <w:rsid w:val="1AE43721"/>
    <w:rsid w:val="1EC32AB0"/>
    <w:rsid w:val="1F4644CE"/>
    <w:rsid w:val="2B351CD7"/>
    <w:rsid w:val="362942AD"/>
    <w:rsid w:val="3CF12A1C"/>
    <w:rsid w:val="3DBC4708"/>
    <w:rsid w:val="3E1772C7"/>
    <w:rsid w:val="4D582EA5"/>
    <w:rsid w:val="6DC41F01"/>
    <w:rsid w:val="7B125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2021-05-26T23:40:00Z</dcterms:created>
  <dc:creator>lenovo</dc:creator>
  <cp:lastModifiedBy>lenovo</cp:lastModifiedBy>
  <dcterms:modified xsi:type="dcterms:W3CDTF">2021-05-27T00:04:30Z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