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45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bookmarkStart w:id="1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  <w:t>市中区市场监管局2020年度政府信息公开工作年度报告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45"/>
        <w:jc w:val="both"/>
        <w:textAlignment w:val="auto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区市场监管局政府信息公开工作在区委区政府的正确指导下，深入贯彻《中华人民共和国政府信息公开条例》（以下简称新《条例》），紧紧围绕机构改革赋予我局的政务职能，加强政务公开工作标准化和规范化建设，提高工作水平，政务公开工作取得良好成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根据《条例》的要求，遵循公正、公平、合法、便民的原则，积极推进政府信息公开工作：（1）按时发布本部门年度财政预算决算、三公经费信息等，推动部门项目资金使用情况的公开。（2）及时公开我局制订的规范性文件，充分保障人民群众的知情权，使政策执行更加阳光透明。（3）依法依规公开监管和执法信息，提高监管效能和公正性，增强监管威慑力和公信力。下表为我局上述相关工作情况统计及说明，如对本报告有任何疑问，请联系市中区市场监管局办公室，电话：0632-3089126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 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987"/>
        <w:gridCol w:w="1803"/>
        <w:gridCol w:w="319"/>
        <w:gridCol w:w="1218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增加88</w:t>
            </w: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减少13</w:t>
            </w: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     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       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本年度我局政府信息公开工作虽然取得了一定的成绩，但是也存在一些不足，主要表现在：政务信息公开的信息类型较为单一，主要以单位动态性政务信息为主；政策解读、决策信息等信息内容数量较少。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2021年，我局将进一步加强政府信息公开工作。一是制定年度工作目标，突出重点政务信息公开，把政务公开工作中遇到的重点、难点问题和社会群众关心的热点问题，作为政务公开主要内容，努力做到政务决策公开、过程公开、结果公开，关系群众切身利益的重大问题公开，保证公开的真实性，注重公开的实效性。二是加大宣传力度，努力提高公众对政府信息公开的知晓率。在规定的政府信息公开范围内，及时发布和更新应主动公开的政府信息，并做好答复工作。充分利用好门户网站这一平台，实现政务公开信息化，切实提高办事透明度和行政效能，为公众提供更及时更准确的信息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2020年，我局办理人大建议、政协提案共7件，其中大建议3件，政协提案共4件，已经全部在规定时限内答复相关人大代表和政协委员，办理结果进行网上公开。办理区长信箱回复12件，均已按期限答复。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1AE43721"/>
    <w:rsid w:val="2B351CD7"/>
    <w:rsid w:val="362942AD"/>
    <w:rsid w:val="3CF12A1C"/>
    <w:rsid w:val="3DBC4708"/>
    <w:rsid w:val="4D582EA5"/>
    <w:rsid w:val="7B1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2021-05-26T23:54:32Z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