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firstLine="420"/>
        <w:jc w:val="center"/>
        <w:rPr>
          <w:rFonts w:hint="eastAsia" w:ascii="宋体" w:hAnsi="宋体" w:eastAsia="宋体" w:cs="宋体"/>
          <w:b w:val="0"/>
          <w:i w:val="0"/>
          <w:caps w:val="0"/>
          <w:color w:val="000000"/>
          <w:spacing w:val="0"/>
          <w:sz w:val="27"/>
          <w:szCs w:val="27"/>
        </w:rPr>
      </w:pPr>
      <w:bookmarkStart w:id="0" w:name="_GoBack"/>
      <w:r>
        <w:rPr>
          <w:rFonts w:hint="eastAsia" w:ascii="宋体" w:hAnsi="宋体" w:eastAsia="宋体" w:cs="宋体"/>
          <w:b w:val="0"/>
          <w:i w:val="0"/>
          <w:caps w:val="0"/>
          <w:color w:val="000000"/>
          <w:spacing w:val="0"/>
          <w:sz w:val="27"/>
          <w:szCs w:val="27"/>
        </w:rPr>
        <w:t>市中区交通运输局2020年度政府信息公开工作年度报告</w:t>
      </w:r>
    </w:p>
    <w:bookmarkEnd w:id="0"/>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按照上级信息公开工作要求，现将2020年市中区交通运输局政府信息公开工作情况总结如下：　　</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一、本年度政府信息公开工作情况</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一是积极推进财政资金信息公开。对财政预决算、“三公”经费等公开工作，召开专题会议，细化公开内容，明确公开时间节点，按照要求及时报送至区财政局，由区财政局统一上传公开。二是认真做好“双随机一公开”工作。积极开展企业检查，借助“互联网+监管”平台，加强日常动态监管，并将随机抽查事项清单及抽查比例频次、执法处罚数据以及执法人员名录库及时更新、调整。三是做好行政执法公示。制定并严格执行交通运输行政执法自由裁量基准。制定并公布《市中区交通运输局行政处罚裁量基准》和《市中区交通运输管理领域轻微违法行为不予行政处罚和一般违法行为减轻行政处罚事项清单》。同时对三项制度相关内容在区政务内网予以更新，对行政处罚、行政强制、行政检查等执法结果及时公开，接收公众监督。四是做好建议、提案承办和市、区投诉办理工作。年度办理答复市、区人大建议12件，市、区政协提案9件，处理区长信箱信件累计16件，受理市局投诉中心转来各种投诉及市长热线转办单116件次，区政府网格化转办市长热线746件次，回复率达100%。五是配合做好政务公开迎评工作。按照区政府办公室的要求，梳理本单位的政务公开事项，形成政务公开标准规范清单，严格按照清单事项及时公开工作情况报告、部门动态等信息汇总并上传至区政府管理平台予以公开。</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二、主动公开政府信息情况</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180"/>
        <w:gridCol w:w="15"/>
        <w:gridCol w:w="2160"/>
        <w:gridCol w:w="156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90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15"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信息内容</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本年新制作数量</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本年新公开数量</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对外公开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35"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规章</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35"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规范性文件</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25" w:hRule="atLeast"/>
        </w:trPr>
        <w:tc>
          <w:tcPr>
            <w:tcW w:w="90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55"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信息内容</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上一年项目数量</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本年增/减</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行政许可</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85"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其他对外管理服务事项</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40" w:hRule="atLeast"/>
        </w:trPr>
        <w:tc>
          <w:tcPr>
            <w:tcW w:w="90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85"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信息内容</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上一年项目数量</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本年增/减</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00"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行政处罚</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59</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行政强制</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9</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20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10" w:hRule="atLeast"/>
        </w:trPr>
        <w:tc>
          <w:tcPr>
            <w:tcW w:w="90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信息内容</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上一年项目数量</w:t>
            </w:r>
          </w:p>
        </w:tc>
        <w:tc>
          <w:tcPr>
            <w:tcW w:w="364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3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行政事业性收费</w:t>
            </w:r>
          </w:p>
        </w:tc>
        <w:tc>
          <w:tcPr>
            <w:tcW w:w="21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364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10" w:hRule="atLeast"/>
        </w:trPr>
        <w:tc>
          <w:tcPr>
            <w:tcW w:w="90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65" w:hRule="atLeast"/>
        </w:trPr>
        <w:tc>
          <w:tcPr>
            <w:tcW w:w="319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信息内容</w:t>
            </w:r>
          </w:p>
        </w:tc>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采购项目数量</w:t>
            </w:r>
          </w:p>
        </w:tc>
        <w:tc>
          <w:tcPr>
            <w:tcW w:w="364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25" w:hRule="atLeast"/>
        </w:trPr>
        <w:tc>
          <w:tcPr>
            <w:tcW w:w="319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政府集中采购</w:t>
            </w:r>
          </w:p>
        </w:tc>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3645"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bl>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三、收到和处理政府信息公开申请情况</w:t>
      </w:r>
    </w:p>
    <w:tbl>
      <w:tblP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1170"/>
        <w:gridCol w:w="1440"/>
        <w:gridCol w:w="900"/>
        <w:gridCol w:w="900"/>
        <w:gridCol w:w="900"/>
        <w:gridCol w:w="900"/>
        <w:gridCol w:w="900"/>
        <w:gridCol w:w="900"/>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20" w:hRule="atLeast"/>
        </w:trPr>
        <w:tc>
          <w:tcPr>
            <w:tcW w:w="351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等于第三项加第四项之和）</w:t>
            </w:r>
          </w:p>
        </w:tc>
        <w:tc>
          <w:tcPr>
            <w:tcW w:w="6300"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20" w:hRule="atLeast"/>
        </w:trPr>
        <w:tc>
          <w:tcPr>
            <w:tcW w:w="351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sans-serif" w:hAnsi="sans-serif" w:eastAsia="sans-serif" w:cs="sans-serif"/>
                <w:b w:val="0"/>
                <w:i w:val="0"/>
                <w:caps w:val="0"/>
                <w:color w:val="000000"/>
                <w:spacing w:val="0"/>
                <w:sz w:val="27"/>
                <w:szCs w:val="27"/>
              </w:rPr>
            </w:pPr>
          </w:p>
        </w:tc>
        <w:tc>
          <w:tcPr>
            <w:tcW w:w="9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自然人</w:t>
            </w:r>
          </w:p>
        </w:tc>
        <w:tc>
          <w:tcPr>
            <w:tcW w:w="450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法人或其他组织</w:t>
            </w:r>
          </w:p>
        </w:tc>
        <w:tc>
          <w:tcPr>
            <w:tcW w:w="9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1125" w:hRule="atLeast"/>
        </w:trPr>
        <w:tc>
          <w:tcPr>
            <w:tcW w:w="351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商业企业</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科研机构</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社会公益组织</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法律服务机构</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其他</w:t>
            </w:r>
          </w:p>
        </w:tc>
        <w:tc>
          <w:tcPr>
            <w:tcW w:w="9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351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一、本年新收政府信息公开申请数量</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351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二、上年结转政府信息公开申请数量</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117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三、本年度办理结果</w:t>
            </w:r>
          </w:p>
        </w:tc>
        <w:tc>
          <w:tcPr>
            <w:tcW w:w="234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（一）予以公开</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234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（二）部分公开（区分处理的，只计这一情形，不计其他情形）</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（三）不予公开</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1.属于国家秘密</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2.其他法律行政法规禁止公开</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3.危及“三安全一稳定”</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4.保护第三方合法权益</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5.属于三类内部事务信息</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6.属于四类过程性信息</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7.属于行政执法案卷</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8.属于行政查询事项</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（四）无法提供</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1.本机关不掌握相关政府信息</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2.没有现成信息需要另行制作</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3.补正后申请内容仍不明确</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（五）不予处理</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1.信访举报投诉类申请</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2.重复申请</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3.要求提供公开出版物</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9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4.无正当理由大量反复申请</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144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出具已获取信息</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9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234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（六）其他处理</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90" w:hRule="atLeast"/>
        </w:trPr>
        <w:tc>
          <w:tcPr>
            <w:tcW w:w="117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27"/>
                <w:szCs w:val="27"/>
              </w:rPr>
            </w:pPr>
          </w:p>
        </w:tc>
        <w:tc>
          <w:tcPr>
            <w:tcW w:w="234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（七）总计</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51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四、结转下年度继续办理</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27"/>
                <w:szCs w:val="27"/>
              </w:rPr>
            </w:pPr>
            <w:r>
              <w:rPr>
                <w:rFonts w:hint="eastAsia" w:ascii="宋体" w:hAnsi="宋体" w:eastAsia="宋体" w:cs="宋体"/>
                <w:b w:val="0"/>
                <w:i w:val="0"/>
                <w:caps w:val="0"/>
                <w:color w:val="000000"/>
                <w:spacing w:val="0"/>
                <w:sz w:val="27"/>
                <w:szCs w:val="27"/>
                <w:bdr w:val="none" w:color="auto" w:sz="0" w:space="0"/>
              </w:rPr>
              <w:t>0</w:t>
            </w:r>
          </w:p>
        </w:tc>
      </w:tr>
    </w:tbl>
    <w:tbl>
      <w:tblPr>
        <w:tblStyle w:val="3"/>
        <w:tblpPr w:leftFromText="180" w:rightFromText="180" w:vertAnchor="text" w:horzAnchor="page" w:tblpX="824" w:tblpY="622"/>
        <w:tblOverlap w:val="never"/>
        <w:tblW w:w="11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
      <w:tblGrid>
        <w:gridCol w:w="810"/>
        <w:gridCol w:w="720"/>
        <w:gridCol w:w="720"/>
        <w:gridCol w:w="720"/>
        <w:gridCol w:w="810"/>
        <w:gridCol w:w="720"/>
        <w:gridCol w:w="720"/>
        <w:gridCol w:w="720"/>
        <w:gridCol w:w="720"/>
        <w:gridCol w:w="720"/>
        <w:gridCol w:w="720"/>
        <w:gridCol w:w="720"/>
        <w:gridCol w:w="720"/>
        <w:gridCol w:w="81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95" w:hRule="atLeast"/>
        </w:trPr>
        <w:tc>
          <w:tcPr>
            <w:tcW w:w="378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行政复议</w:t>
            </w:r>
          </w:p>
        </w:tc>
        <w:tc>
          <w:tcPr>
            <w:tcW w:w="7380"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40" w:hRule="atLeast"/>
        </w:trPr>
        <w:tc>
          <w:tcPr>
            <w:tcW w:w="81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维持</w:t>
            </w:r>
          </w:p>
        </w:tc>
        <w:tc>
          <w:tcPr>
            <w:tcW w:w="72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结果纠正</w:t>
            </w:r>
          </w:p>
        </w:tc>
        <w:tc>
          <w:tcPr>
            <w:tcW w:w="72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其他结果</w:t>
            </w:r>
          </w:p>
        </w:tc>
        <w:tc>
          <w:tcPr>
            <w:tcW w:w="72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审结</w:t>
            </w:r>
          </w:p>
        </w:tc>
        <w:tc>
          <w:tcPr>
            <w:tcW w:w="81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计</w:t>
            </w:r>
          </w:p>
        </w:tc>
        <w:tc>
          <w:tcPr>
            <w:tcW w:w="360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未经复议直接起诉</w:t>
            </w:r>
          </w:p>
        </w:tc>
        <w:tc>
          <w:tcPr>
            <w:tcW w:w="378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Ex>
        <w:trPr>
          <w:trHeight w:val="900" w:hRule="atLeast"/>
        </w:trPr>
        <w:tc>
          <w:tcPr>
            <w:tcW w:w="81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18"/>
                <w:szCs w:val="18"/>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18"/>
                <w:szCs w:val="18"/>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18"/>
                <w:szCs w:val="18"/>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18"/>
                <w:szCs w:val="18"/>
              </w:rPr>
            </w:pPr>
          </w:p>
        </w:tc>
        <w:tc>
          <w:tcPr>
            <w:tcW w:w="81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b w:val="0"/>
                <w:i w:val="0"/>
                <w:caps w:val="0"/>
                <w:color w:val="000000"/>
                <w:spacing w:val="0"/>
                <w:sz w:val="18"/>
                <w:szCs w:val="18"/>
              </w:rPr>
            </w:pP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结果维持</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结果纠正</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审结</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总计</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结果维持</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纠正</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jc w:val="both"/>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结果</w:t>
            </w:r>
          </w:p>
        </w:tc>
        <w:tc>
          <w:tcPr>
            <w:tcW w:w="8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尚未审结</w:t>
            </w:r>
          </w:p>
        </w:tc>
        <w:tc>
          <w:tcPr>
            <w:tcW w:w="8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Ex>
        <w:tc>
          <w:tcPr>
            <w:tcW w:w="8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8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8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c>
          <w:tcPr>
            <w:tcW w:w="8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宋体" w:hAnsi="宋体" w:eastAsia="宋体" w:cs="宋体"/>
                <w:sz w:val="18"/>
                <w:szCs w:val="18"/>
              </w:rPr>
            </w:pPr>
            <w:r>
              <w:rPr>
                <w:rFonts w:hint="eastAsia" w:ascii="宋体" w:hAnsi="宋体" w:eastAsia="宋体" w:cs="宋体"/>
                <w:b w:val="0"/>
                <w:i w:val="0"/>
                <w:caps w:val="0"/>
                <w:color w:val="000000"/>
                <w:spacing w:val="0"/>
                <w:sz w:val="18"/>
                <w:szCs w:val="18"/>
              </w:rPr>
              <w:t>0</w:t>
            </w:r>
          </w:p>
        </w:tc>
      </w:tr>
    </w:tbl>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四、政府信息公开行政复议、行政诉讼情况</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五、存在的主要问题及改进情况</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（一）存在问题</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一是公开标准有待加强，内容较为单一，多为执法处罚信息，部门动态信息和工程项目进展情况等公开较少。</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二是公开意识不强。从事政务公开的人员多为兼职，多种工作在身，缺乏专职人员，导致对政务公开相关制度学习不够，意识不强。</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三是公开形式的便民性需进一步提升，内容上的把关还需进一步加强。</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（二）改进情况</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1.进一步推进政府信息公开工作系统建设。全局干部职工要及时了解和掌握工作中遇到的新情况、新问题，以及解决问题的好办法、好经验，并及时报送。</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2.加强督促检查，提高公开意识，进一步促进和增强做好政府信息公开工作的自觉性。</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3.加强工作交流。加强与其他单位之间信息的交流沟通，互相取长补短，共同提高。</w:t>
      </w:r>
    </w:p>
    <w:p>
      <w:pPr>
        <w:pStyle w:val="2"/>
        <w:keepNext w:val="0"/>
        <w:keepLines w:val="0"/>
        <w:widowControl/>
        <w:suppressLineNumbers w:val="0"/>
        <w:spacing w:before="0" w:beforeAutospacing="0" w:after="0" w:afterAutospacing="0" w:line="420" w:lineRule="atLeast"/>
        <w:ind w:left="0" w:firstLine="42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4.强化公开内容把关，提高内容质量，确保公开信息无漏洞、不泄密。优化公开形式，公开类目进一步细化，便于群众查找了解所需的政策信息。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2B351CD7"/>
    <w:rsid w:val="3CF12A1C"/>
    <w:rsid w:val="3DBC4708"/>
    <w:rsid w:val="7B12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2021-05-26T23:48:52Z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