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C7" w:rsidRDefault="00152EB9" w:rsidP="00E764C7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方正小标宋简体" w:hAnsi="宋体" w:cs="宋体"/>
          <w:color w:val="333333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枣庄市</w:t>
      </w:r>
      <w:r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  <w:t>市中区财政局</w:t>
      </w:r>
      <w:r w:rsidR="00E764C7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政府信息公开工作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2019年</w:t>
      </w:r>
      <w:r w:rsidR="00E764C7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年度报告</w:t>
      </w:r>
    </w:p>
    <w:p w:rsidR="00E764C7" w:rsidRDefault="00E764C7" w:rsidP="00E764C7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</w:rPr>
      </w:pPr>
    </w:p>
    <w:p w:rsidR="00E764C7" w:rsidRDefault="00E764C7" w:rsidP="00E764C7">
      <w:pPr>
        <w:pStyle w:val="a3"/>
        <w:widowControl/>
        <w:shd w:val="clear" w:color="auto" w:fill="FFFFFF"/>
        <w:spacing w:beforeAutospacing="0" w:afterAutospacing="0"/>
        <w:ind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一、总体情况</w:t>
      </w:r>
    </w:p>
    <w:p w:rsidR="00D734CE" w:rsidRDefault="009E105F" w:rsidP="009E105F">
      <w:pPr>
        <w:pStyle w:val="a3"/>
        <w:widowControl/>
        <w:shd w:val="clear" w:color="auto" w:fill="FFFFFF"/>
        <w:spacing w:beforeAutospacing="0" w:after="240" w:afterAutospacing="0"/>
        <w:ind w:firstLine="640"/>
        <w:jc w:val="both"/>
        <w:rPr>
          <w:rFonts w:ascii="宋体" w:hAnsi="宋体" w:cs="宋体"/>
          <w:color w:val="000000"/>
        </w:rPr>
      </w:pPr>
      <w:r w:rsidRPr="009E105F">
        <w:rPr>
          <w:rFonts w:ascii="宋体" w:hAnsi="宋体" w:cs="宋体" w:hint="eastAsia"/>
          <w:color w:val="000000"/>
        </w:rPr>
        <w:t>枣庄市市中区区财政局坚持贯彻落实《中华人民共和国政府信息公开条例》，遵循公正、公平、合法、便民的原则，</w:t>
      </w:r>
      <w:r>
        <w:rPr>
          <w:rFonts w:ascii="宋体" w:hAnsi="宋体" w:cs="宋体" w:hint="eastAsia"/>
          <w:color w:val="000000"/>
        </w:rPr>
        <w:t>及时</w:t>
      </w:r>
      <w:r w:rsidRPr="009E105F">
        <w:rPr>
          <w:rFonts w:ascii="宋体" w:hAnsi="宋体" w:cs="宋体" w:hint="eastAsia"/>
          <w:color w:val="000000"/>
        </w:rPr>
        <w:t>更新</w:t>
      </w:r>
      <w:r w:rsidR="00D734CE">
        <w:rPr>
          <w:rFonts w:ascii="宋体" w:hAnsi="宋体" w:cs="宋体" w:hint="eastAsia"/>
          <w:color w:val="000000"/>
        </w:rPr>
        <w:t>和维护</w:t>
      </w:r>
      <w:r w:rsidRPr="009E105F">
        <w:rPr>
          <w:rFonts w:ascii="宋体" w:hAnsi="宋体" w:cs="宋体" w:hint="eastAsia"/>
          <w:color w:val="000000"/>
        </w:rPr>
        <w:t>本局公开的政府信息，</w:t>
      </w:r>
      <w:r w:rsidR="00D734CE">
        <w:rPr>
          <w:rFonts w:ascii="宋体" w:hAnsi="宋体" w:cs="宋体" w:hint="eastAsia"/>
          <w:color w:val="000000"/>
        </w:rPr>
        <w:t>按照条例</w:t>
      </w:r>
      <w:r w:rsidR="00D734CE" w:rsidRPr="00D734CE">
        <w:rPr>
          <w:rFonts w:ascii="宋体" w:hAnsi="宋体" w:cs="宋体" w:hint="eastAsia"/>
          <w:color w:val="000000"/>
        </w:rPr>
        <w:t>要求，坚持“公开为原则，不公开为例外”，积极做好各项主动公开工作。</w:t>
      </w:r>
    </w:p>
    <w:p w:rsidR="00D734CE" w:rsidRDefault="00D734CE" w:rsidP="009E105F">
      <w:pPr>
        <w:pStyle w:val="a3"/>
        <w:widowControl/>
        <w:shd w:val="clear" w:color="auto" w:fill="FFFFFF"/>
        <w:spacing w:beforeAutospacing="0" w:after="240" w:afterAutospacing="0"/>
        <w:ind w:firstLine="640"/>
        <w:jc w:val="both"/>
        <w:rPr>
          <w:rFonts w:ascii="宋体" w:hAnsi="宋体" w:cs="宋体"/>
          <w:color w:val="000000"/>
        </w:rPr>
      </w:pPr>
      <w:r w:rsidRPr="00D734CE">
        <w:rPr>
          <w:rFonts w:ascii="宋体" w:hAnsi="宋体" w:cs="宋体" w:hint="eastAsia"/>
          <w:color w:val="000000"/>
        </w:rPr>
        <w:t>截止到2019年12月，我局全年</w:t>
      </w:r>
      <w:r w:rsidR="008B2C85">
        <w:rPr>
          <w:rFonts w:ascii="宋体" w:hAnsi="宋体" w:cs="宋体" w:hint="eastAsia"/>
          <w:color w:val="000000"/>
        </w:rPr>
        <w:t>除</w:t>
      </w:r>
      <w:r w:rsidR="008B2C85">
        <w:rPr>
          <w:rFonts w:ascii="宋体" w:hAnsi="宋体" w:cs="宋体"/>
          <w:color w:val="000000"/>
        </w:rPr>
        <w:t>政府采购外，</w:t>
      </w:r>
      <w:r w:rsidRPr="00D734CE">
        <w:rPr>
          <w:rFonts w:ascii="宋体" w:hAnsi="宋体" w:cs="宋体" w:hint="eastAsia"/>
          <w:color w:val="000000"/>
        </w:rPr>
        <w:t>主动公开各类政府信息19</w:t>
      </w:r>
      <w:r w:rsidR="004F33BC">
        <w:rPr>
          <w:rFonts w:ascii="宋体" w:hAnsi="宋体" w:cs="宋体"/>
          <w:color w:val="000000"/>
        </w:rPr>
        <w:t>3</w:t>
      </w:r>
      <w:r w:rsidRPr="00D734CE">
        <w:rPr>
          <w:rFonts w:ascii="宋体" w:hAnsi="宋体" w:cs="宋体" w:hint="eastAsia"/>
          <w:color w:val="000000"/>
        </w:rPr>
        <w:t>条（其中</w:t>
      </w:r>
      <w:r w:rsidR="00715850">
        <w:rPr>
          <w:rFonts w:ascii="宋体" w:hAnsi="宋体" w:cs="宋体" w:hint="eastAsia"/>
          <w:color w:val="000000"/>
        </w:rPr>
        <w:t>通知公告3项</w:t>
      </w:r>
      <w:r w:rsidR="00715850">
        <w:rPr>
          <w:rFonts w:ascii="宋体" w:hAnsi="宋体" w:cs="宋体"/>
          <w:color w:val="000000"/>
        </w:rPr>
        <w:t>，信息公开指南</w:t>
      </w:r>
      <w:r w:rsidR="00715850">
        <w:rPr>
          <w:rFonts w:ascii="宋体" w:hAnsi="宋体" w:cs="宋体" w:hint="eastAsia"/>
          <w:color w:val="000000"/>
        </w:rPr>
        <w:t>1项</w:t>
      </w:r>
      <w:r w:rsidR="00715850">
        <w:rPr>
          <w:rFonts w:ascii="宋体" w:hAnsi="宋体" w:cs="宋体"/>
          <w:color w:val="000000"/>
        </w:rPr>
        <w:t>，发布行政事业性收费目录</w:t>
      </w:r>
      <w:r w:rsidR="00715850">
        <w:rPr>
          <w:rFonts w:ascii="宋体" w:hAnsi="宋体" w:cs="宋体" w:hint="eastAsia"/>
          <w:color w:val="000000"/>
        </w:rPr>
        <w:t>21次</w:t>
      </w:r>
      <w:r w:rsidR="00715850">
        <w:rPr>
          <w:rFonts w:ascii="宋体" w:hAnsi="宋体" w:cs="宋体"/>
          <w:color w:val="000000"/>
        </w:rPr>
        <w:t>，政府性基金目录</w:t>
      </w:r>
      <w:r w:rsidR="00715850">
        <w:rPr>
          <w:rFonts w:ascii="宋体" w:hAnsi="宋体" w:cs="宋体" w:hint="eastAsia"/>
          <w:color w:val="000000"/>
        </w:rPr>
        <w:t>7次，</w:t>
      </w:r>
      <w:r w:rsidR="00715850">
        <w:rPr>
          <w:rFonts w:ascii="宋体" w:hAnsi="宋体" w:cs="宋体"/>
          <w:color w:val="000000"/>
        </w:rPr>
        <w:t>区本级财政预决算及其说明</w:t>
      </w:r>
      <w:r w:rsidR="00715850">
        <w:rPr>
          <w:rFonts w:ascii="宋体" w:hAnsi="宋体" w:cs="宋体" w:hint="eastAsia"/>
          <w:color w:val="000000"/>
        </w:rPr>
        <w:t>1项</w:t>
      </w:r>
      <w:r w:rsidR="00715850">
        <w:rPr>
          <w:rFonts w:ascii="宋体" w:hAnsi="宋体" w:cs="宋体"/>
          <w:color w:val="000000"/>
        </w:rPr>
        <w:t>，区本级“</w:t>
      </w:r>
      <w:r w:rsidR="00715850">
        <w:rPr>
          <w:rFonts w:ascii="宋体" w:hAnsi="宋体" w:cs="宋体" w:hint="eastAsia"/>
          <w:color w:val="000000"/>
        </w:rPr>
        <w:t>三公</w:t>
      </w:r>
      <w:r w:rsidR="00715850">
        <w:rPr>
          <w:rFonts w:ascii="宋体" w:hAnsi="宋体" w:cs="宋体"/>
          <w:color w:val="000000"/>
        </w:rPr>
        <w:t>”</w:t>
      </w:r>
      <w:r w:rsidR="00715850">
        <w:rPr>
          <w:rFonts w:ascii="宋体" w:hAnsi="宋体" w:cs="宋体" w:hint="eastAsia"/>
          <w:color w:val="000000"/>
        </w:rPr>
        <w:t>经费</w:t>
      </w:r>
      <w:r w:rsidR="00715850">
        <w:rPr>
          <w:rFonts w:ascii="宋体" w:hAnsi="宋体" w:cs="宋体"/>
          <w:color w:val="000000"/>
        </w:rPr>
        <w:t>情况</w:t>
      </w:r>
      <w:r w:rsidR="00715850">
        <w:rPr>
          <w:rFonts w:ascii="宋体" w:hAnsi="宋体" w:cs="宋体" w:hint="eastAsia"/>
          <w:color w:val="000000"/>
        </w:rPr>
        <w:t>4次</w:t>
      </w:r>
      <w:r w:rsidR="00715850">
        <w:rPr>
          <w:rFonts w:ascii="宋体" w:hAnsi="宋体" w:cs="宋体"/>
          <w:color w:val="000000"/>
        </w:rPr>
        <w:t>，政府债务领域</w:t>
      </w:r>
      <w:r w:rsidR="00715850">
        <w:rPr>
          <w:rFonts w:ascii="宋体" w:hAnsi="宋体" w:cs="宋体" w:hint="eastAsia"/>
          <w:color w:val="000000"/>
        </w:rPr>
        <w:t>4项</w:t>
      </w:r>
      <w:r w:rsidR="00715850">
        <w:rPr>
          <w:rFonts w:ascii="宋体" w:hAnsi="宋体" w:cs="宋体"/>
          <w:color w:val="000000"/>
        </w:rPr>
        <w:t>，部门预决算、</w:t>
      </w:r>
      <w:r w:rsidR="00655D2C">
        <w:rPr>
          <w:rFonts w:ascii="宋体" w:hAnsi="宋体" w:cs="宋体" w:hint="eastAsia"/>
          <w:color w:val="000000"/>
        </w:rPr>
        <w:t>“</w:t>
      </w:r>
      <w:r w:rsidR="00715850">
        <w:rPr>
          <w:rFonts w:ascii="宋体" w:hAnsi="宋体" w:cs="宋体"/>
          <w:color w:val="000000"/>
        </w:rPr>
        <w:t>三公</w:t>
      </w:r>
      <w:r w:rsidR="00655D2C">
        <w:rPr>
          <w:rFonts w:ascii="宋体" w:hAnsi="宋体" w:cs="宋体" w:hint="eastAsia"/>
          <w:color w:val="000000"/>
        </w:rPr>
        <w:t>”</w:t>
      </w:r>
      <w:r w:rsidR="00715850">
        <w:rPr>
          <w:rFonts w:ascii="宋体" w:hAnsi="宋体" w:cs="宋体"/>
          <w:color w:val="000000"/>
        </w:rPr>
        <w:t>经费预决算及其说明</w:t>
      </w:r>
      <w:r w:rsidR="00715850">
        <w:rPr>
          <w:rFonts w:ascii="宋体" w:hAnsi="宋体" w:cs="宋体" w:hint="eastAsia"/>
          <w:color w:val="000000"/>
        </w:rPr>
        <w:t>142项，</w:t>
      </w:r>
      <w:r w:rsidR="00715850">
        <w:rPr>
          <w:rFonts w:ascii="宋体" w:hAnsi="宋体" w:cs="宋体"/>
          <w:color w:val="000000"/>
        </w:rPr>
        <w:t>行政执法公示事前公开</w:t>
      </w:r>
      <w:r w:rsidR="00715850">
        <w:rPr>
          <w:rFonts w:ascii="宋体" w:hAnsi="宋体" w:cs="宋体" w:hint="eastAsia"/>
          <w:color w:val="000000"/>
        </w:rPr>
        <w:t>2项</w:t>
      </w:r>
      <w:r w:rsidR="00715850">
        <w:rPr>
          <w:rFonts w:ascii="宋体" w:hAnsi="宋体" w:cs="宋体"/>
          <w:color w:val="000000"/>
        </w:rPr>
        <w:t>，行政执法服务指南</w:t>
      </w:r>
      <w:r w:rsidR="00715850">
        <w:rPr>
          <w:rFonts w:ascii="宋体" w:hAnsi="宋体" w:cs="宋体" w:hint="eastAsia"/>
          <w:color w:val="000000"/>
        </w:rPr>
        <w:t>2项</w:t>
      </w:r>
      <w:r w:rsidR="00715850">
        <w:rPr>
          <w:rFonts w:ascii="宋体" w:hAnsi="宋体" w:cs="宋体"/>
          <w:color w:val="000000"/>
        </w:rPr>
        <w:t>，行政执法</w:t>
      </w:r>
      <w:r w:rsidR="00715850">
        <w:rPr>
          <w:rFonts w:ascii="宋体" w:hAnsi="宋体" w:cs="宋体" w:hint="eastAsia"/>
          <w:color w:val="000000"/>
        </w:rPr>
        <w:t>事后</w:t>
      </w:r>
      <w:r w:rsidR="00715850">
        <w:rPr>
          <w:rFonts w:ascii="宋体" w:hAnsi="宋体" w:cs="宋体"/>
          <w:color w:val="000000"/>
        </w:rPr>
        <w:t>公开</w:t>
      </w:r>
      <w:r w:rsidR="00715850">
        <w:rPr>
          <w:rFonts w:ascii="宋体" w:hAnsi="宋体" w:cs="宋体" w:hint="eastAsia"/>
          <w:color w:val="000000"/>
        </w:rPr>
        <w:t>2项</w:t>
      </w:r>
      <w:r w:rsidR="00715850">
        <w:rPr>
          <w:rFonts w:ascii="宋体" w:hAnsi="宋体" w:cs="宋体"/>
          <w:color w:val="000000"/>
        </w:rPr>
        <w:t>，行政执法统计年报</w:t>
      </w:r>
      <w:r w:rsidR="00715850">
        <w:rPr>
          <w:rFonts w:ascii="宋体" w:hAnsi="宋体" w:cs="宋体" w:hint="eastAsia"/>
          <w:color w:val="000000"/>
        </w:rPr>
        <w:t>1项</w:t>
      </w:r>
      <w:r w:rsidR="00715850">
        <w:rPr>
          <w:rFonts w:ascii="宋体" w:hAnsi="宋体" w:cs="宋体"/>
          <w:color w:val="000000"/>
        </w:rPr>
        <w:t>，</w:t>
      </w:r>
      <w:r w:rsidR="00BA5E6F">
        <w:rPr>
          <w:rFonts w:ascii="宋体" w:hAnsi="宋体" w:cs="宋体" w:hint="eastAsia"/>
          <w:color w:val="000000"/>
        </w:rPr>
        <w:t>落实</w:t>
      </w:r>
      <w:r w:rsidR="00BA5E6F">
        <w:rPr>
          <w:rFonts w:ascii="宋体" w:hAnsi="宋体" w:cs="宋体"/>
          <w:color w:val="000000"/>
        </w:rPr>
        <w:t>政府工作报告情况</w:t>
      </w:r>
      <w:r w:rsidR="00BA5E6F">
        <w:rPr>
          <w:rFonts w:ascii="宋体" w:hAnsi="宋体" w:cs="宋体" w:hint="eastAsia"/>
          <w:color w:val="000000"/>
        </w:rPr>
        <w:t>1项</w:t>
      </w:r>
      <w:r w:rsidR="00BA5E6F">
        <w:rPr>
          <w:rFonts w:ascii="宋体" w:hAnsi="宋体" w:cs="宋体"/>
          <w:color w:val="000000"/>
        </w:rPr>
        <w:t>，市政协提案办理结果公示</w:t>
      </w:r>
      <w:r w:rsidR="00BA5E6F">
        <w:rPr>
          <w:rFonts w:ascii="宋体" w:hAnsi="宋体" w:cs="宋体" w:hint="eastAsia"/>
          <w:color w:val="000000"/>
        </w:rPr>
        <w:t>1项</w:t>
      </w:r>
      <w:r w:rsidR="00BA5E6F">
        <w:rPr>
          <w:rFonts w:ascii="宋体" w:hAnsi="宋体" w:cs="宋体"/>
          <w:color w:val="000000"/>
        </w:rPr>
        <w:t>，部门信息公开年度报告</w:t>
      </w:r>
      <w:r w:rsidR="00BA5E6F">
        <w:rPr>
          <w:rFonts w:ascii="宋体" w:hAnsi="宋体" w:cs="宋体" w:hint="eastAsia"/>
          <w:color w:val="000000"/>
        </w:rPr>
        <w:t>1项，</w:t>
      </w:r>
      <w:r w:rsidR="00BA5E6F">
        <w:rPr>
          <w:rFonts w:ascii="宋体" w:hAnsi="宋体" w:cs="宋体"/>
          <w:color w:val="000000"/>
        </w:rPr>
        <w:t>依申请公开办理事项</w:t>
      </w:r>
      <w:r w:rsidR="00BA5E6F">
        <w:rPr>
          <w:rFonts w:ascii="宋体" w:hAnsi="宋体" w:cs="宋体" w:hint="eastAsia"/>
          <w:color w:val="000000"/>
        </w:rPr>
        <w:t>1项</w:t>
      </w:r>
      <w:r w:rsidR="00BA5E6F">
        <w:rPr>
          <w:rFonts w:ascii="宋体" w:hAnsi="宋体" w:cs="宋体"/>
          <w:color w:val="000000"/>
        </w:rPr>
        <w:t>，交流互动栏目回复</w:t>
      </w:r>
      <w:r w:rsidR="00BA5E6F">
        <w:rPr>
          <w:rFonts w:ascii="宋体" w:hAnsi="宋体" w:cs="宋体" w:hint="eastAsia"/>
          <w:color w:val="000000"/>
        </w:rPr>
        <w:t>1项</w:t>
      </w:r>
      <w:r w:rsidRPr="00D734CE">
        <w:rPr>
          <w:rFonts w:ascii="宋体" w:hAnsi="宋体" w:cs="宋体" w:hint="eastAsia"/>
          <w:color w:val="000000"/>
        </w:rPr>
        <w:t>），全文电子化率为100%。内容涵盖减税降费（行政事业型收费和政府性基金目录）、政府采购、人大预决算报告（含预决算表格及说明、“三公”经费、财政收支信息）、部门预决算等相关内容。</w:t>
      </w:r>
      <w:r>
        <w:rPr>
          <w:rFonts w:ascii="宋体" w:hAnsi="宋体" w:cs="宋体" w:hint="eastAsia"/>
          <w:color w:val="000000"/>
        </w:rPr>
        <w:t>（</w:t>
      </w:r>
      <w:r w:rsidRPr="00D734CE">
        <w:rPr>
          <w:rFonts w:ascii="宋体" w:hAnsi="宋体" w:cs="宋体" w:hint="eastAsia"/>
          <w:color w:val="000000"/>
        </w:rPr>
        <w:t>以上主动公开信息主要通过枣庄市市中区人民政府网站</w:t>
      </w:r>
      <w:r w:rsidR="00B06770">
        <w:rPr>
          <w:rFonts w:ascii="宋体" w:hAnsi="宋体" w:cs="宋体" w:hint="eastAsia"/>
          <w:color w:val="000000"/>
        </w:rPr>
        <w:t>（</w:t>
      </w:r>
      <w:r w:rsidR="00B06770" w:rsidRPr="00B06770">
        <w:rPr>
          <w:rFonts w:ascii="宋体" w:hAnsi="宋体" w:cs="宋体"/>
          <w:color w:val="000000"/>
        </w:rPr>
        <w:t>http://www.zzszq.gov.cn</w:t>
      </w:r>
      <w:r w:rsidR="00B06770">
        <w:rPr>
          <w:rFonts w:ascii="宋体" w:hAnsi="宋体" w:cs="宋体" w:hint="eastAsia"/>
          <w:color w:val="000000"/>
        </w:rPr>
        <w:t>）</w:t>
      </w:r>
      <w:r w:rsidRPr="00D734CE">
        <w:rPr>
          <w:rFonts w:ascii="宋体" w:hAnsi="宋体" w:cs="宋体" w:hint="eastAsia"/>
          <w:color w:val="000000"/>
        </w:rPr>
        <w:t>公开。</w:t>
      </w:r>
      <w:r>
        <w:rPr>
          <w:rFonts w:ascii="宋体" w:hAnsi="宋体" w:cs="宋体" w:hint="eastAsia"/>
          <w:color w:val="000000"/>
        </w:rPr>
        <w:t>）</w:t>
      </w:r>
      <w:r w:rsidR="00A721D8">
        <w:rPr>
          <w:rFonts w:ascii="宋体" w:hAnsi="宋体" w:cs="宋体" w:hint="eastAsia"/>
          <w:color w:val="000000"/>
        </w:rPr>
        <w:t>另外</w:t>
      </w:r>
      <w:r w:rsidR="00A721D8">
        <w:rPr>
          <w:rFonts w:ascii="宋体" w:hAnsi="宋体" w:cs="宋体"/>
          <w:color w:val="000000"/>
        </w:rPr>
        <w:t>，有关政府采购</w:t>
      </w:r>
      <w:r w:rsidR="00A721D8">
        <w:rPr>
          <w:rFonts w:ascii="宋体" w:hAnsi="宋体" w:cs="宋体" w:hint="eastAsia"/>
          <w:color w:val="000000"/>
        </w:rPr>
        <w:t>方面</w:t>
      </w:r>
      <w:r w:rsidR="00A721D8">
        <w:rPr>
          <w:rFonts w:ascii="宋体" w:hAnsi="宋体" w:cs="宋体"/>
          <w:color w:val="000000"/>
        </w:rPr>
        <w:t>的信息，</w:t>
      </w:r>
      <w:r w:rsidR="008B2C85">
        <w:rPr>
          <w:rFonts w:ascii="宋体" w:hAnsi="宋体" w:cs="宋体" w:hint="eastAsia"/>
          <w:color w:val="000000"/>
        </w:rPr>
        <w:t>共计240余条</w:t>
      </w:r>
      <w:r w:rsidR="008B2C85">
        <w:rPr>
          <w:rFonts w:ascii="宋体" w:hAnsi="宋体" w:cs="宋体"/>
          <w:color w:val="000000"/>
        </w:rPr>
        <w:t>（</w:t>
      </w:r>
      <w:r w:rsidR="008B2C85">
        <w:rPr>
          <w:rFonts w:ascii="宋体" w:hAnsi="宋体" w:cs="宋体" w:hint="eastAsia"/>
          <w:color w:val="000000"/>
        </w:rPr>
        <w:t>含</w:t>
      </w:r>
      <w:r w:rsidR="008B2C85">
        <w:rPr>
          <w:rFonts w:ascii="宋体" w:hAnsi="宋体" w:cs="宋体"/>
          <w:color w:val="000000"/>
        </w:rPr>
        <w:t>开标公告、中标结果等）</w:t>
      </w:r>
      <w:r w:rsidR="008B2C85">
        <w:rPr>
          <w:rFonts w:ascii="宋体" w:hAnsi="宋体" w:cs="宋体" w:hint="eastAsia"/>
          <w:color w:val="000000"/>
        </w:rPr>
        <w:t>，</w:t>
      </w:r>
      <w:r w:rsidR="00A721D8">
        <w:rPr>
          <w:rFonts w:ascii="宋体" w:hAnsi="宋体" w:cs="宋体"/>
          <w:color w:val="000000"/>
        </w:rPr>
        <w:t>在</w:t>
      </w:r>
      <w:r w:rsidR="00A721D8">
        <w:rPr>
          <w:rFonts w:ascii="宋体" w:hAnsi="宋体" w:cs="宋体" w:hint="eastAsia"/>
          <w:color w:val="000000"/>
        </w:rPr>
        <w:t>中国山东</w:t>
      </w:r>
      <w:r w:rsidR="00A721D8">
        <w:rPr>
          <w:rFonts w:ascii="宋体" w:hAnsi="宋体" w:cs="宋体"/>
          <w:color w:val="000000"/>
        </w:rPr>
        <w:t>政府采购网（</w:t>
      </w:r>
      <w:r w:rsidR="00A721D8" w:rsidRPr="00A721D8">
        <w:rPr>
          <w:rFonts w:ascii="宋体" w:hAnsi="宋体" w:cs="宋体"/>
          <w:color w:val="000000"/>
        </w:rPr>
        <w:t>http://www.ccgp-shandong.gov.cn/sdgp2017/site/index.jsp</w:t>
      </w:r>
      <w:r w:rsidR="00A721D8">
        <w:rPr>
          <w:rFonts w:ascii="宋体" w:hAnsi="宋体" w:cs="宋体"/>
          <w:color w:val="000000"/>
        </w:rPr>
        <w:t>）</w:t>
      </w:r>
      <w:r w:rsidR="00A721D8">
        <w:rPr>
          <w:rFonts w:ascii="宋体" w:hAnsi="宋体" w:cs="宋体" w:hint="eastAsia"/>
          <w:color w:val="000000"/>
        </w:rPr>
        <w:t>予以公示</w:t>
      </w:r>
      <w:r w:rsidR="00A721D8">
        <w:rPr>
          <w:rFonts w:ascii="宋体" w:hAnsi="宋体" w:cs="宋体"/>
          <w:color w:val="000000"/>
        </w:rPr>
        <w:t>。</w:t>
      </w:r>
    </w:p>
    <w:p w:rsidR="009E105F" w:rsidRDefault="00D734CE" w:rsidP="009E105F">
      <w:pPr>
        <w:pStyle w:val="a3"/>
        <w:widowControl/>
        <w:shd w:val="clear" w:color="auto" w:fill="FFFFFF"/>
        <w:spacing w:beforeAutospacing="0" w:after="240" w:afterAutospacing="0"/>
        <w:ind w:firstLine="64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本年度</w:t>
      </w:r>
      <w:r w:rsidRPr="00D734CE">
        <w:rPr>
          <w:rFonts w:ascii="宋体" w:hAnsi="宋体" w:cs="宋体" w:hint="eastAsia"/>
          <w:color w:val="000000"/>
        </w:rPr>
        <w:t>收到和处理政府信息公开申请</w:t>
      </w:r>
      <w:r>
        <w:rPr>
          <w:rFonts w:ascii="宋体" w:hAnsi="宋体" w:cs="宋体" w:hint="eastAsia"/>
          <w:color w:val="000000"/>
        </w:rPr>
        <w:t>1人次；未出现</w:t>
      </w:r>
      <w:r w:rsidRPr="00D734CE">
        <w:rPr>
          <w:rFonts w:ascii="宋体" w:hAnsi="宋体" w:cs="宋体" w:hint="eastAsia"/>
          <w:color w:val="000000"/>
        </w:rPr>
        <w:t>政府信息公开行政复议、行政诉讼</w:t>
      </w:r>
      <w:r>
        <w:rPr>
          <w:rFonts w:ascii="宋体" w:hAnsi="宋体" w:cs="宋体" w:hint="eastAsia"/>
          <w:color w:val="000000"/>
        </w:rPr>
        <w:t>情况</w:t>
      </w:r>
      <w:r>
        <w:rPr>
          <w:rFonts w:ascii="宋体" w:hAnsi="宋体" w:cs="宋体"/>
          <w:color w:val="000000"/>
        </w:rPr>
        <w:t>。</w:t>
      </w:r>
    </w:p>
    <w:p w:rsidR="00E764C7" w:rsidRDefault="00E764C7" w:rsidP="00E764C7">
      <w:pPr>
        <w:pStyle w:val="a3"/>
        <w:widowControl/>
        <w:shd w:val="clear" w:color="auto" w:fill="FFFFFF"/>
        <w:spacing w:beforeAutospacing="0" w:after="240" w:afterAutospacing="0"/>
        <w:ind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3"/>
        <w:gridCol w:w="17"/>
        <w:gridCol w:w="2095"/>
        <w:gridCol w:w="1505"/>
        <w:gridCol w:w="2018"/>
      </w:tblGrid>
      <w:tr w:rsidR="00E764C7" w:rsidTr="007E471F">
        <w:trPr>
          <w:trHeight w:val="594"/>
          <w:jc w:val="center"/>
        </w:trPr>
        <w:tc>
          <w:tcPr>
            <w:tcW w:w="87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第二十条第（一）项</w:t>
            </w:r>
          </w:p>
        </w:tc>
      </w:tr>
      <w:tr w:rsidR="00E764C7" w:rsidTr="007E471F">
        <w:trPr>
          <w:trHeight w:val="866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本年新制作数量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对外公开</w:t>
            </w:r>
          </w:p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总数量</w:t>
            </w:r>
          </w:p>
        </w:tc>
      </w:tr>
      <w:tr w:rsidR="00E764C7" w:rsidTr="007E471F">
        <w:trPr>
          <w:trHeight w:val="399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</w:t>
            </w:r>
            <w:r w:rsidR="00322BB7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="00322BB7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322BB7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764C7" w:rsidTr="007E471F">
        <w:trPr>
          <w:trHeight w:val="404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</w:t>
            </w:r>
            <w:r w:rsidR="00322BB7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="00322BB7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322BB7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764C7" w:rsidTr="007E471F">
        <w:trPr>
          <w:trHeight w:val="480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第二十条第（五）项</w:t>
            </w:r>
          </w:p>
        </w:tc>
      </w:tr>
      <w:tr w:rsidR="00E764C7" w:rsidTr="007E471F">
        <w:trPr>
          <w:trHeight w:val="516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处理决定数量</w:t>
            </w:r>
          </w:p>
        </w:tc>
      </w:tr>
      <w:tr w:rsidR="00E764C7" w:rsidTr="007E471F">
        <w:trPr>
          <w:trHeight w:val="455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4810ED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8C255B" w:rsidP="004810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减</w:t>
            </w:r>
            <w:r w:rsidR="004E7FB9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8C25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8C255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764C7" w:rsidTr="007E471F">
        <w:trPr>
          <w:trHeight w:val="550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4810ED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4810ED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4810ED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764C7" w:rsidTr="007E471F">
        <w:trPr>
          <w:trHeight w:val="497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第二十条第（六）项</w:t>
            </w:r>
          </w:p>
        </w:tc>
      </w:tr>
      <w:tr w:rsidR="00E764C7" w:rsidTr="007E471F">
        <w:trPr>
          <w:trHeight w:val="547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处理决定数量</w:t>
            </w:r>
          </w:p>
        </w:tc>
      </w:tr>
      <w:tr w:rsidR="00E764C7" w:rsidTr="007E471F">
        <w:trPr>
          <w:trHeight w:val="430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987708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 w:rsidR="00E764C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987708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764C7" w:rsidTr="007E471F">
        <w:trPr>
          <w:trHeight w:val="409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987708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987708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987708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E764C7" w:rsidTr="007E471F">
        <w:trPr>
          <w:trHeight w:val="474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第二十条第（八）项</w:t>
            </w:r>
          </w:p>
        </w:tc>
      </w:tr>
      <w:tr w:rsidR="00E764C7" w:rsidTr="007E471F">
        <w:trPr>
          <w:trHeight w:val="447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本年增/减</w:t>
            </w:r>
          </w:p>
        </w:tc>
      </w:tr>
      <w:tr w:rsidR="00E764C7" w:rsidTr="007E471F">
        <w:trPr>
          <w:trHeight w:val="440"/>
          <w:jc w:val="center"/>
        </w:trPr>
        <w:tc>
          <w:tcPr>
            <w:tcW w:w="3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A90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A90FB4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="00A90FB4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 w:rsidR="00E764C7" w:rsidTr="007E471F">
        <w:trPr>
          <w:trHeight w:val="476"/>
          <w:jc w:val="center"/>
        </w:trPr>
        <w:tc>
          <w:tcPr>
            <w:tcW w:w="87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第二十条第（九）项</w:t>
            </w:r>
          </w:p>
        </w:tc>
      </w:tr>
      <w:tr w:rsidR="00E764C7" w:rsidTr="007E471F">
        <w:trPr>
          <w:trHeight w:val="427"/>
          <w:jc w:val="center"/>
        </w:trPr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采购总金额</w:t>
            </w:r>
          </w:p>
        </w:tc>
      </w:tr>
      <w:tr w:rsidR="00E764C7" w:rsidRPr="00B470A3" w:rsidTr="007E471F">
        <w:trPr>
          <w:trHeight w:val="469"/>
          <w:jc w:val="center"/>
        </w:trPr>
        <w:tc>
          <w:tcPr>
            <w:tcW w:w="3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E764C7" w:rsidP="004310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431070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 w:rsidR="00C006A1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4C7" w:rsidRDefault="00CF7274" w:rsidP="00582E3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98.70</w:t>
            </w:r>
            <w:r w:rsidR="00B470A3">
              <w:rPr>
                <w:rFonts w:ascii="宋体" w:hAnsi="宋体" w:cs="宋体" w:hint="eastAsia"/>
                <w:color w:val="000000"/>
                <w:kern w:val="0"/>
                <w:sz w:val="24"/>
              </w:rPr>
              <w:t>万</w:t>
            </w:r>
            <w:r w:rsidR="00C006A1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  <w:r w:rsidR="00B470A3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="00582E35">
              <w:rPr>
                <w:rFonts w:ascii="宋体" w:hAnsi="宋体" w:cs="宋体" w:hint="eastAsia"/>
                <w:color w:val="000000"/>
                <w:kern w:val="0"/>
                <w:sz w:val="24"/>
              </w:rPr>
              <w:t>此为</w:t>
            </w:r>
            <w:r w:rsidR="00B470A3">
              <w:rPr>
                <w:rFonts w:ascii="宋体" w:hAnsi="宋体" w:cs="宋体" w:hint="eastAsia"/>
                <w:color w:val="000000"/>
                <w:kern w:val="0"/>
                <w:sz w:val="24"/>
              </w:rPr>
              <w:t>合同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  <w:r w:rsidR="00582E35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  <w:r w:rsidR="00B470A3">
              <w:rPr>
                <w:rFonts w:ascii="宋体" w:hAnsi="宋体" w:cs="宋体" w:hint="eastAsia"/>
                <w:color w:val="000000"/>
                <w:kern w:val="0"/>
                <w:sz w:val="24"/>
              </w:rPr>
              <w:t>施工据</w:t>
            </w:r>
            <w:r w:rsidR="00100370">
              <w:rPr>
                <w:rFonts w:ascii="宋体" w:hAnsi="宋体" w:cs="宋体" w:hint="eastAsia"/>
                <w:color w:val="000000"/>
                <w:kern w:val="0"/>
                <w:sz w:val="24"/>
              </w:rPr>
              <w:t>现场</w:t>
            </w:r>
            <w:r w:rsidR="00B470A3">
              <w:rPr>
                <w:rFonts w:ascii="宋体" w:hAnsi="宋体" w:cs="宋体" w:hint="eastAsia"/>
                <w:color w:val="000000"/>
                <w:kern w:val="0"/>
                <w:sz w:val="24"/>
              </w:rPr>
              <w:t>实际</w:t>
            </w:r>
            <w:r w:rsidR="00B470A3">
              <w:rPr>
                <w:rFonts w:ascii="宋体" w:hAnsi="宋体" w:cs="宋体"/>
                <w:color w:val="000000"/>
                <w:kern w:val="0"/>
                <w:sz w:val="24"/>
              </w:rPr>
              <w:t>情况</w:t>
            </w:r>
            <w:r w:rsidR="00100370">
              <w:rPr>
                <w:rFonts w:ascii="宋体" w:hAnsi="宋体" w:cs="宋体" w:hint="eastAsia"/>
                <w:color w:val="000000"/>
                <w:kern w:val="0"/>
                <w:sz w:val="24"/>
              </w:rPr>
              <w:t>按规定</w:t>
            </w:r>
            <w:r w:rsidR="00B470A3">
              <w:rPr>
                <w:rFonts w:ascii="宋体" w:hAnsi="宋体" w:cs="宋体" w:hint="eastAsia"/>
                <w:color w:val="000000"/>
                <w:kern w:val="0"/>
                <w:sz w:val="24"/>
              </w:rPr>
              <w:t>调整</w:t>
            </w:r>
            <w:r w:rsidR="00B470A3">
              <w:rPr>
                <w:rFonts w:ascii="宋体" w:hAnsi="宋体" w:cs="宋体"/>
                <w:color w:val="000000"/>
                <w:kern w:val="0"/>
                <w:sz w:val="24"/>
              </w:rPr>
              <w:t>后</w:t>
            </w:r>
            <w:r w:rsidR="007D2831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="00B470A3">
              <w:rPr>
                <w:rFonts w:ascii="宋体" w:hAnsi="宋体" w:cs="宋体" w:hint="eastAsia"/>
                <w:color w:val="000000"/>
                <w:kern w:val="0"/>
                <w:sz w:val="24"/>
              </w:rPr>
              <w:t>实际</w:t>
            </w:r>
            <w:r w:rsidR="00B470A3">
              <w:rPr>
                <w:rFonts w:ascii="宋体" w:hAnsi="宋体" w:cs="宋体"/>
                <w:color w:val="000000"/>
                <w:kern w:val="0"/>
                <w:sz w:val="24"/>
              </w:rPr>
              <w:t>金额</w:t>
            </w:r>
            <w:r w:rsidR="00B470A3">
              <w:rPr>
                <w:rFonts w:ascii="宋体" w:hAnsi="宋体" w:cs="宋体" w:hint="eastAsia"/>
                <w:color w:val="000000"/>
                <w:kern w:val="0"/>
                <w:sz w:val="24"/>
              </w:rPr>
              <w:t>为99.825万</w:t>
            </w:r>
            <w:r w:rsidR="00CE2F3E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  <w:r w:rsidR="00B470A3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</w:tbl>
    <w:p w:rsidR="00E764C7" w:rsidRDefault="00E764C7" w:rsidP="00E764C7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</w:rPr>
      </w:pPr>
    </w:p>
    <w:p w:rsidR="00E764C7" w:rsidRDefault="00E764C7" w:rsidP="00E764C7">
      <w:pPr>
        <w:pStyle w:val="a3"/>
        <w:widowControl/>
        <w:shd w:val="clear" w:color="auto" w:fill="FFFFFF"/>
        <w:spacing w:beforeAutospacing="0" w:after="240" w:afterAutospacing="0"/>
        <w:ind w:leftChars="-95" w:left="-199" w:firstLine="62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 w:rsidR="00E764C7" w:rsidTr="007E471F">
        <w:trPr>
          <w:trHeight w:val="413"/>
          <w:jc w:val="center"/>
        </w:trPr>
        <w:tc>
          <w:tcPr>
            <w:tcW w:w="47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</w:t>
            </w:r>
          </w:p>
          <w:p w:rsidR="00E764C7" w:rsidRDefault="00E764C7" w:rsidP="007E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3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E764C7" w:rsidTr="007E471F">
        <w:trPr>
          <w:trHeight w:val="425"/>
          <w:jc w:val="center"/>
        </w:trPr>
        <w:tc>
          <w:tcPr>
            <w:tcW w:w="47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3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E764C7" w:rsidTr="007E471F">
        <w:trPr>
          <w:trHeight w:val="1127"/>
          <w:jc w:val="center"/>
        </w:trPr>
        <w:tc>
          <w:tcPr>
            <w:tcW w:w="47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320" w:lineRule="exact"/>
              <w:ind w:leftChars="-51" w:left="-106" w:rightChars="-51" w:right="-107" w:hanging="1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320" w:lineRule="exact"/>
              <w:ind w:leftChars="-51" w:left="-107" w:rightChars="-51" w:right="-107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320" w:lineRule="exact"/>
              <w:ind w:leftChars="-51" w:left="-107" w:rightChars="-51" w:right="-107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320" w:lineRule="exact"/>
              <w:ind w:leftChars="-51" w:left="-106" w:rightChars="-51" w:right="-107" w:hanging="1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360" w:lineRule="exact"/>
              <w:ind w:leftChars="-30" w:left="-63" w:rightChars="-64" w:right="-13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jc w:val="center"/>
              <w:rPr>
                <w:rFonts w:ascii="宋体"/>
                <w:sz w:val="24"/>
              </w:rPr>
            </w:pPr>
          </w:p>
        </w:tc>
      </w:tr>
      <w:tr w:rsidR="00E764C7" w:rsidTr="007E471F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64C7" w:rsidTr="007E471F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64C7" w:rsidTr="007E471F"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after="180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335B32" w:rsidP="007E471F">
            <w:pPr>
              <w:widowControl/>
              <w:spacing w:after="180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335B32" w:rsidP="007E471F">
            <w:pPr>
              <w:widowControl/>
              <w:spacing w:after="180"/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E764C7" w:rsidTr="007E471F">
        <w:trPr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64C7" w:rsidTr="007E471F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200" w:lineRule="exact"/>
              <w:ind w:leftChars="-51" w:left="-107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64C7" w:rsidTr="007E471F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  <w:p w:rsidR="00987708" w:rsidRDefault="00987708" w:rsidP="007E471F"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64C7" w:rsidTr="007E471F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  <w:p w:rsidR="00987708" w:rsidRDefault="00987708" w:rsidP="007E471F"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64C7" w:rsidTr="007E471F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64C7" w:rsidTr="007E471F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64C7" w:rsidTr="007E471F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64C7" w:rsidTr="007E471F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64C7" w:rsidTr="007E471F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64C7" w:rsidTr="007E471F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200" w:lineRule="exact"/>
              <w:ind w:leftChars="-51" w:left="-107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64C7" w:rsidTr="007E471F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spacing w:line="200" w:lineRule="exact"/>
              <w:ind w:leftChars="-51" w:left="-107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64C7" w:rsidTr="007E471F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spacing w:line="200" w:lineRule="exact"/>
              <w:ind w:leftChars="-51" w:left="-107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64C7" w:rsidTr="007E471F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200" w:lineRule="exact"/>
              <w:ind w:leftChars="-51" w:left="-107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64C7" w:rsidTr="007E471F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2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64C7" w:rsidTr="007E471F">
        <w:trPr>
          <w:trHeight w:hRule="exact" w:val="454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200" w:lineRule="exac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64C7" w:rsidTr="007E471F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200" w:lineRule="exac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64C7" w:rsidTr="007E471F">
        <w:trPr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300" w:lineRule="exac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5.要求行政机关确认或重新</w:t>
            </w:r>
          </w:p>
          <w:p w:rsidR="00E764C7" w:rsidRDefault="00E764C7" w:rsidP="007E471F">
            <w:pPr>
              <w:widowControl/>
              <w:spacing w:line="300" w:lineRule="exact"/>
              <w:ind w:firstLineChars="100" w:firstLine="200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64C7" w:rsidTr="007E471F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200" w:lineRule="exac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987708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E764C7" w:rsidTr="007E471F">
        <w:trPr>
          <w:trHeight w:hRule="exact" w:val="397"/>
          <w:jc w:val="center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200" w:lineRule="exac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BE09FB" w:rsidP="007E471F">
            <w:pPr>
              <w:widowControl/>
              <w:spacing w:after="180" w:line="20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BE09FB" w:rsidP="007E471F">
            <w:pPr>
              <w:widowControl/>
              <w:spacing w:after="180" w:line="2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BE09FB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BE09FB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BE09FB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BE09FB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BE09FB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64C7" w:rsidTr="007E471F"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BE09FB" w:rsidP="007E471F">
            <w:pPr>
              <w:widowControl/>
              <w:spacing w:after="180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BE09FB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BE09FB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BE09FB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BE09FB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BE09FB" w:rsidP="007E471F"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BE09FB" w:rsidP="007E471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E764C7" w:rsidRDefault="00E764C7" w:rsidP="00E764C7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</w:rPr>
      </w:pPr>
    </w:p>
    <w:p w:rsidR="00E764C7" w:rsidRDefault="00E764C7" w:rsidP="00E764C7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/>
          <w:color w:val="333333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:rsidR="00E764C7" w:rsidRDefault="00E764C7" w:rsidP="00E764C7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E764C7" w:rsidTr="007E471F">
        <w:trPr>
          <w:trHeight w:val="497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E764C7" w:rsidTr="007E471F">
        <w:trPr>
          <w:trHeight w:val="547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ind w:leftChars="-71" w:left="-149" w:rightChars="-81" w:right="-17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E764C7" w:rsidRDefault="00E764C7" w:rsidP="007E471F">
            <w:pPr>
              <w:widowControl/>
              <w:ind w:leftChars="-71" w:left="-149" w:rightChars="-81" w:right="-17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ind w:leftChars="-21" w:left="-43" w:rightChars="-63" w:right="-132" w:hanging="1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ind w:leftChars="-39" w:left="-82" w:rightChars="-46" w:right="-97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ind w:leftChars="-56" w:left="-118" w:rightChars="-56" w:right="-118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E764C7" w:rsidRDefault="00E764C7" w:rsidP="007E471F">
            <w:pPr>
              <w:widowControl/>
              <w:ind w:leftChars="-56" w:left="-118" w:rightChars="-56" w:right="-118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</w:t>
            </w:r>
          </w:p>
          <w:p w:rsidR="00E764C7" w:rsidRDefault="00E764C7" w:rsidP="007E471F">
            <w:pPr>
              <w:widowControl/>
              <w:spacing w:line="3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E764C7" w:rsidTr="007E471F">
        <w:trPr>
          <w:trHeight w:val="906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ind w:leftChars="-50" w:left="-105" w:rightChars="-60" w:right="-126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ind w:leftChars="-41" w:left="-86" w:rightChars="-42" w:right="-88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ind w:leftChars="-60" w:left="-126" w:rightChars="-65" w:right="-136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E764C7" w:rsidRDefault="00E764C7" w:rsidP="007E471F">
            <w:pPr>
              <w:widowControl/>
              <w:ind w:leftChars="-60" w:left="-126" w:rightChars="-65" w:right="-136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ind w:leftChars="-78" w:left="-164" w:rightChars="-73" w:right="-153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E764C7" w:rsidRDefault="00E764C7" w:rsidP="007E471F">
            <w:pPr>
              <w:widowControl/>
              <w:ind w:leftChars="-78" w:left="-164" w:rightChars="-73" w:right="-153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ind w:leftChars="-47" w:left="-99" w:rightChars="-37" w:right="-78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ind w:leftChars="-65" w:left="-136" w:rightChars="-59" w:right="-124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E764C7" w:rsidRDefault="00E764C7" w:rsidP="007E471F">
            <w:pPr>
              <w:widowControl/>
              <w:ind w:leftChars="-65" w:left="-136" w:rightChars="-59" w:right="-124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ind w:leftChars="-83" w:left="-173" w:rightChars="-64" w:right="-134" w:hanging="1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E764C7" w:rsidRDefault="00E764C7" w:rsidP="007E471F">
            <w:pPr>
              <w:widowControl/>
              <w:ind w:leftChars="-83" w:left="-173" w:rightChars="-64" w:right="-134" w:hanging="1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ind w:leftChars="-33" w:left="-67" w:rightChars="-50" w:right="-105" w:hangingChars="1" w:hanging="2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E764C7" w:rsidTr="007E471F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BE09FB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BE09FB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 w:rsidR="00BE09FB"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BE09FB" w:rsidP="007E471F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  <w:r w:rsidR="00E764C7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BE09FB" w:rsidP="007E471F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  <w:r w:rsidR="00E764C7"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BE09FB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BE09FB" w:rsidP="007E471F">
            <w:pPr>
              <w:widowControl/>
              <w:spacing w:after="180"/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="00E764C7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BE09FB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BE09FB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BE09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BE09FB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BE09FB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BE09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E764C7" w:rsidP="007E471F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BE09FB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64C7" w:rsidRDefault="00BE09FB" w:rsidP="007E471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E764C7" w:rsidRDefault="00E764C7" w:rsidP="00E764C7">
      <w:pPr>
        <w:widowControl/>
        <w:shd w:val="clear" w:color="auto" w:fill="FFFFFF"/>
        <w:jc w:val="center"/>
        <w:rPr>
          <w:rFonts w:ascii="宋体" w:hAnsi="宋体" w:cs="宋体"/>
          <w:color w:val="333333"/>
          <w:sz w:val="24"/>
        </w:rPr>
      </w:pPr>
    </w:p>
    <w:p w:rsidR="00E764C7" w:rsidRDefault="00E764C7" w:rsidP="00E764C7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/>
          <w:color w:val="333333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五、存在的主要问题及改进情况</w:t>
      </w:r>
    </w:p>
    <w:p w:rsidR="002B0B71" w:rsidRDefault="002B0B71" w:rsidP="00E764C7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2B0B71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目前，我局政府信息公开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工作</w:t>
      </w:r>
      <w:r w:rsidRPr="002B0B71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中仍然存在</w:t>
      </w:r>
      <w:r w:rsidR="00DA6BE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的</w:t>
      </w:r>
      <w:r w:rsidRPr="002B0B71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问题是各股室主动公开的时间意识不强。下一步我们将加强宣传培训，进</w:t>
      </w:r>
      <w:r w:rsidRPr="002B0B71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lastRenderedPageBreak/>
        <w:t>一步提高认识，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积极</w:t>
      </w:r>
      <w:r w:rsidRPr="002B0B71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做好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相关</w:t>
      </w:r>
      <w:r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  <w:t>工作内容的搜集和整理工作</w:t>
      </w:r>
      <w:r w:rsidRPr="002B0B71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，按照规定内容和时限，做好政府信息公开工作。</w:t>
      </w:r>
    </w:p>
    <w:p w:rsidR="00E764C7" w:rsidRDefault="00E764C7" w:rsidP="00E764C7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/>
          <w:color w:val="333333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六、其他需要报告的事项</w:t>
      </w:r>
    </w:p>
    <w:p w:rsidR="00900A7F" w:rsidRDefault="002B0B71" w:rsidP="00781F80">
      <w:pPr>
        <w:pStyle w:val="a3"/>
        <w:widowControl/>
        <w:shd w:val="clear" w:color="auto" w:fill="FFFFFF"/>
        <w:spacing w:beforeAutospacing="0" w:afterAutospacing="0"/>
        <w:ind w:firstLine="420"/>
        <w:jc w:val="both"/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无</w:t>
      </w:r>
      <w:r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  <w:t>。</w:t>
      </w:r>
    </w:p>
    <w:sectPr w:rsidR="00900A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E3" w:rsidRDefault="006052E3" w:rsidP="00322BB7">
      <w:r>
        <w:separator/>
      </w:r>
    </w:p>
  </w:endnote>
  <w:endnote w:type="continuationSeparator" w:id="0">
    <w:p w:rsidR="006052E3" w:rsidRDefault="006052E3" w:rsidP="0032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E3" w:rsidRDefault="006052E3" w:rsidP="00322BB7">
      <w:r>
        <w:separator/>
      </w:r>
    </w:p>
  </w:footnote>
  <w:footnote w:type="continuationSeparator" w:id="0">
    <w:p w:rsidR="006052E3" w:rsidRDefault="006052E3" w:rsidP="00322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C7"/>
    <w:rsid w:val="0005743D"/>
    <w:rsid w:val="00100370"/>
    <w:rsid w:val="00152EB9"/>
    <w:rsid w:val="00271A65"/>
    <w:rsid w:val="002B0B71"/>
    <w:rsid w:val="00322BB7"/>
    <w:rsid w:val="00335B32"/>
    <w:rsid w:val="00421491"/>
    <w:rsid w:val="00431070"/>
    <w:rsid w:val="004810ED"/>
    <w:rsid w:val="004E7FB9"/>
    <w:rsid w:val="004F33BC"/>
    <w:rsid w:val="00582E35"/>
    <w:rsid w:val="005873EC"/>
    <w:rsid w:val="006052E3"/>
    <w:rsid w:val="00624E1F"/>
    <w:rsid w:val="00655D2C"/>
    <w:rsid w:val="00715850"/>
    <w:rsid w:val="00781F80"/>
    <w:rsid w:val="007D2831"/>
    <w:rsid w:val="0087477D"/>
    <w:rsid w:val="008B2C85"/>
    <w:rsid w:val="008C255B"/>
    <w:rsid w:val="00900A7F"/>
    <w:rsid w:val="00987708"/>
    <w:rsid w:val="009E105F"/>
    <w:rsid w:val="00A721D8"/>
    <w:rsid w:val="00A90FB4"/>
    <w:rsid w:val="00AB3CD6"/>
    <w:rsid w:val="00B06770"/>
    <w:rsid w:val="00B470A3"/>
    <w:rsid w:val="00BA5E6F"/>
    <w:rsid w:val="00BE09FB"/>
    <w:rsid w:val="00C006A1"/>
    <w:rsid w:val="00C15F92"/>
    <w:rsid w:val="00CE2F3E"/>
    <w:rsid w:val="00CF7274"/>
    <w:rsid w:val="00D734CE"/>
    <w:rsid w:val="00DA6BEA"/>
    <w:rsid w:val="00E764C7"/>
    <w:rsid w:val="00EE4C06"/>
    <w:rsid w:val="00FA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879AE"/>
  <w15:chartTrackingRefBased/>
  <w15:docId w15:val="{4F86FEC6-DA44-404D-AD51-863B3D95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764C7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322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22BB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2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22B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</Pages>
  <Words>325</Words>
  <Characters>1857</Characters>
  <Application>Microsoft Office Word</Application>
  <DocSecurity>0</DocSecurity>
  <Lines>15</Lines>
  <Paragraphs>4</Paragraphs>
  <ScaleCrop>false</ScaleCrop>
  <Company>微软中国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uspmuvo</cp:lastModifiedBy>
  <cp:revision>28</cp:revision>
  <dcterms:created xsi:type="dcterms:W3CDTF">2020-01-20T01:45:00Z</dcterms:created>
  <dcterms:modified xsi:type="dcterms:W3CDTF">2020-01-23T03:32:00Z</dcterms:modified>
</cp:coreProperties>
</file>