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jc w:val="center"/>
        <w:rPr>
          <w:rFonts w:hint="eastAsia" w:ascii="微软雅黑" w:hAnsi="微软雅黑" w:eastAsia="微软雅黑" w:cs="微软雅黑"/>
          <w:i w:val="0"/>
          <w:caps w:val="0"/>
          <w:color w:val="000000"/>
          <w:spacing w:val="0"/>
          <w:sz w:val="36"/>
          <w:szCs w:val="36"/>
          <w:shd w:val="clear" w:fill="FFFFFF"/>
        </w:rPr>
      </w:pPr>
      <w:r>
        <w:rPr>
          <w:rFonts w:hint="eastAsia" w:ascii="微软雅黑" w:hAnsi="微软雅黑" w:eastAsia="微软雅黑" w:cs="微软雅黑"/>
          <w:i w:val="0"/>
          <w:caps w:val="0"/>
          <w:color w:val="000000"/>
          <w:spacing w:val="0"/>
          <w:sz w:val="36"/>
          <w:szCs w:val="36"/>
          <w:shd w:val="clear" w:fill="FFFFFF"/>
          <w:lang w:val="en-US" w:eastAsia="zh-CN"/>
        </w:rPr>
        <w:t xml:space="preserve"> 枣庄市市中区综合行政执法局</w:t>
      </w:r>
      <w:r>
        <w:rPr>
          <w:rFonts w:hint="eastAsia" w:ascii="微软雅黑" w:hAnsi="微软雅黑" w:eastAsia="微软雅黑" w:cs="微软雅黑"/>
          <w:i w:val="0"/>
          <w:caps w:val="0"/>
          <w:color w:val="000000"/>
          <w:spacing w:val="0"/>
          <w:sz w:val="36"/>
          <w:szCs w:val="36"/>
          <w:shd w:val="clear" w:fill="FFFFFF"/>
        </w:rPr>
        <w:t>2017年政府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jc w:val="center"/>
        <w:rPr>
          <w:rFonts w:hint="eastAsia" w:ascii="微软雅黑" w:hAnsi="微软雅黑" w:eastAsia="微软雅黑" w:cs="微软雅黑"/>
          <w:color w:val="000000"/>
          <w:sz w:val="36"/>
          <w:szCs w:val="36"/>
        </w:rPr>
      </w:pPr>
      <w:r>
        <w:rPr>
          <w:rFonts w:hint="eastAsia" w:ascii="微软雅黑" w:hAnsi="微软雅黑" w:eastAsia="微软雅黑" w:cs="微软雅黑"/>
          <w:i w:val="0"/>
          <w:caps w:val="0"/>
          <w:color w:val="000000"/>
          <w:spacing w:val="0"/>
          <w:sz w:val="36"/>
          <w:szCs w:val="36"/>
          <w:shd w:val="clear" w:fill="FFFFFF"/>
        </w:rPr>
        <w:t>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ascii="仿宋" w:hAnsi="仿宋" w:eastAsia="仿宋" w:cs="仿宋"/>
          <w:b w:val="0"/>
          <w:i w:val="0"/>
          <w:caps w:val="0"/>
          <w:color w:val="333333"/>
          <w:spacing w:val="0"/>
          <w:kern w:val="0"/>
          <w:sz w:val="32"/>
          <w:szCs w:val="32"/>
          <w:shd w:val="clear" w:fill="FFFFFF"/>
          <w:lang w:val="en-US" w:eastAsia="zh-CN" w:bidi="ar"/>
        </w:rPr>
        <w:t>2017</w:t>
      </w:r>
      <w:r>
        <w:rPr>
          <w:rFonts w:hint="eastAsia" w:ascii="仿宋" w:hAnsi="仿宋" w:eastAsia="仿宋" w:cs="仿宋"/>
          <w:b w:val="0"/>
          <w:i w:val="0"/>
          <w:caps w:val="0"/>
          <w:color w:val="333333"/>
          <w:spacing w:val="0"/>
          <w:kern w:val="0"/>
          <w:sz w:val="32"/>
          <w:szCs w:val="32"/>
          <w:shd w:val="clear" w:fill="FFFFFF"/>
          <w:lang w:val="en-US" w:eastAsia="zh-CN" w:bidi="ar"/>
        </w:rPr>
        <w:t>年，枣庄市市中区综合行政执法局在区委区政府的正确领导下，积极推进政府信息公开工作，努力保障公民、法人和其他组织依法获取政府信息权力，提高政府工作透明度，促进依法行政，充分发挥政府信息对人民群众生产、生活和经济社会活动的服务作用。本报告主要包括枣庄市市中区综合行政执法局2017年全年开展政府信息公开工作的具体贯彻落实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枣庄市市中区综合行政执法局高度重视政府信息公开工作。2017年，枣庄市市中区综合行政执法局紧紧围绕区委、区政府工作部署和中央加快推进城市管理信息公开工作等重点任务，加强组织领导，加大公开力度，深入推进重点领域信息公开，积极回应社会关切，充分发挥政府网站和新媒体公开主渠道作用，有力推动了城市管理公开透明,为社会公众提供了便捷高效的城市管理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一、主动公开政府信息情况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（一）主动公开政府信息数量情况。2017年，我局主动公开政府信息510条。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（二）政府信息公开形式。公众可以通过枣庄市市中区政府网、枣庄市市中区政务服务网查看枣庄市市中区综合行政执法局主动公开的政府信息。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二、政府信息依申请公开办理情况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我局2017年接到2件公众、法人或其他组织要求公开政府信息的申请,全部按时</w:t>
      </w:r>
      <w:bookmarkStart w:id="0" w:name="_GoBack"/>
      <w:bookmarkEnd w:id="0"/>
      <w:r>
        <w:rPr>
          <w:rFonts w:hint="eastAsia" w:ascii="仿宋" w:hAnsi="仿宋" w:eastAsia="仿宋" w:cs="仿宋"/>
          <w:b w:val="0"/>
          <w:i w:val="0"/>
          <w:caps w:val="0"/>
          <w:color w:val="333333"/>
          <w:spacing w:val="0"/>
          <w:kern w:val="0"/>
          <w:sz w:val="32"/>
          <w:szCs w:val="32"/>
          <w:shd w:val="clear" w:fill="FFFFFF"/>
          <w:lang w:val="en-US" w:eastAsia="zh-CN" w:bidi="ar"/>
        </w:rPr>
        <w:t>办结。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三、政府信息公开的收费及减免情况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我局没有发生政府信息公开的收费问题。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四、因政府信息公开申请行政复议、提起行政诉讼的情况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我局严格按照《中华人民共和国政府信息公开条例》的规定开展工作，主动、及时公开相关的政府信息，没有涉及政府信息公开的行政复议、行政诉讼和申诉的情况。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pPr>
      <w:r>
        <w:rPr>
          <w:rStyle w:val="5"/>
          <w:rFonts w:hint="eastAsia" w:ascii="仿宋" w:hAnsi="仿宋" w:eastAsia="仿宋" w:cs="仿宋"/>
          <w:i w:val="0"/>
          <w:caps w:val="0"/>
          <w:color w:val="333333"/>
          <w:spacing w:val="0"/>
          <w:kern w:val="0"/>
          <w:sz w:val="32"/>
          <w:szCs w:val="32"/>
          <w:shd w:val="clear" w:fill="FFFFFF"/>
          <w:lang w:val="en-US" w:eastAsia="zh-CN" w:bidi="ar"/>
        </w:rPr>
        <w:t>五、政府信息公开工作存在的主要问题及改进情况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（一）工作中存在的主要问题和困难。我局在信息公开制度流程还有待进一步规范。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（二）解决办法和改进措施。2018年，我局将继续严格按照《条例》和区委区政府的有关要求，进一步健全信息公开制度，完善工作流程，努力使统计信息公开工作质量再上新台阶。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rPr>
          <w:rStyle w:val="5"/>
          <w:rFonts w:hint="eastAsia" w:ascii="仿宋" w:hAnsi="仿宋" w:eastAsia="仿宋" w:cs="仿宋"/>
          <w:i w:val="0"/>
          <w:caps w:val="0"/>
          <w:color w:val="333333"/>
          <w:spacing w:val="0"/>
          <w:kern w:val="0"/>
          <w:sz w:val="32"/>
          <w:szCs w:val="32"/>
          <w:shd w:val="clear" w:fill="FFFFFF"/>
          <w:lang w:val="en-US" w:eastAsia="zh-CN" w:bidi="ar"/>
        </w:rPr>
      </w:pPr>
      <w:r>
        <w:rPr>
          <w:rStyle w:val="5"/>
          <w:rFonts w:hint="eastAsia" w:ascii="仿宋" w:hAnsi="仿宋" w:eastAsia="仿宋" w:cs="仿宋"/>
          <w:i w:val="0"/>
          <w:caps w:val="0"/>
          <w:color w:val="333333"/>
          <w:spacing w:val="0"/>
          <w:kern w:val="0"/>
          <w:sz w:val="32"/>
          <w:szCs w:val="32"/>
          <w:shd w:val="clear" w:fill="FFFFFF"/>
          <w:lang w:val="en-US" w:eastAsia="zh-CN" w:bidi="ar"/>
        </w:rPr>
        <w:t>(六)落实2017年市中区政务公开工作要点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明确信息公开的报送、信息提供等具体工作规范，自觉加强信息公开工作相关制度规范的学习。根据信息公开办法要求，按时间节点主动公开相关信息、数据，推动我局政府信息公开工作规范化、制度化、常态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(二)加强组织机构建设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根据人员变动和工作调整，及时将政府信息公开工作纳入到全局绩效考核内容，提高了政府信息公开工作效能。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(三)信息内容更加丰富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积极推进城市管理信息公开体制改革，及时将社会公众电话咨询和依申请较为集中的信息转为主动公开信息。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b w:val="0"/>
          <w:i w:val="0"/>
          <w:caps w:val="0"/>
          <w:color w:val="333333"/>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7" w:lineRule="atLeast"/>
        <w:ind w:left="0" w:right="0"/>
        <w:jc w:val="right"/>
      </w:pPr>
      <w:r>
        <w:rPr>
          <w:rFonts w:hint="eastAsia" w:ascii="仿宋" w:hAnsi="仿宋" w:eastAsia="仿宋" w:cs="仿宋"/>
          <w:b w:val="0"/>
          <w:i w:val="0"/>
          <w:caps w:val="0"/>
          <w:color w:val="333333"/>
          <w:spacing w:val="0"/>
          <w:kern w:val="0"/>
          <w:sz w:val="32"/>
          <w:szCs w:val="32"/>
          <w:shd w:val="clear" w:fill="FFFFFF"/>
          <w:lang w:val="en-US" w:eastAsia="zh-CN" w:bidi="ar"/>
        </w:rPr>
        <w:t>枣庄市市中区综合行政执法局</w:t>
      </w:r>
      <w:r>
        <w:rPr>
          <w:rFonts w:hint="eastAsia" w:ascii="微软雅黑" w:hAnsi="微软雅黑" w:eastAsia="微软雅黑" w:cs="微软雅黑"/>
          <w:b w:val="0"/>
          <w:i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4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2018年１月24日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4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4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4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440"/>
        <w:jc w:val="left"/>
        <w:rPr>
          <w:rFonts w:hint="eastAsia" w:ascii="仿宋" w:hAnsi="仿宋" w:eastAsia="仿宋" w:cs="仿宋"/>
          <w:b w:val="0"/>
          <w:i w:val="0"/>
          <w:caps w:val="0"/>
          <w:color w:val="333333"/>
          <w:spacing w:val="0"/>
          <w:kern w:val="0"/>
          <w:sz w:val="32"/>
          <w:szCs w:val="32"/>
          <w:shd w:val="clear" w:fill="FFFFFF"/>
          <w:lang w:val="en-US" w:eastAsia="zh-CN" w:bidi="ar"/>
        </w:rPr>
      </w:pPr>
    </w:p>
    <w:p>
      <w:pPr>
        <w:spacing w:line="580" w:lineRule="exact"/>
        <w:rPr>
          <w:rFonts w:hint="eastAsia" w:ascii="黑体" w:hAnsi="黑体" w:eastAsia="黑体" w:cs="Arial"/>
          <w:color w:val="000000"/>
          <w:kern w:val="0"/>
          <w:sz w:val="32"/>
          <w:szCs w:val="32"/>
        </w:rPr>
      </w:pPr>
      <w:r>
        <w:rPr>
          <w:rFonts w:hint="eastAsia" w:ascii="黑体" w:hAnsi="黑体" w:eastAsia="黑体" w:cs="Arial"/>
          <w:color w:val="000000"/>
          <w:kern w:val="0"/>
          <w:sz w:val="32"/>
          <w:szCs w:val="32"/>
        </w:rPr>
        <w:t>附件2</w:t>
      </w:r>
    </w:p>
    <w:p>
      <w:pPr>
        <w:spacing w:line="460" w:lineRule="exact"/>
        <w:jc w:val="center"/>
        <w:rPr>
          <w:rFonts w:hint="eastAsia" w:ascii="宋体" w:hAnsi="宋体"/>
          <w:b/>
          <w:color w:val="000000"/>
          <w:sz w:val="32"/>
          <w:szCs w:val="32"/>
        </w:rPr>
      </w:pPr>
      <w:r>
        <w:rPr>
          <w:rFonts w:hint="eastAsia" w:ascii="宋体" w:hAnsi="宋体"/>
          <w:b/>
          <w:color w:val="000000"/>
          <w:sz w:val="32"/>
          <w:szCs w:val="32"/>
        </w:rPr>
        <w:t>2017年度政府信息公开工作情况统计表</w:t>
      </w:r>
    </w:p>
    <w:p>
      <w:pPr>
        <w:spacing w:line="460" w:lineRule="exact"/>
        <w:jc w:val="center"/>
        <w:rPr>
          <w:rFonts w:hint="eastAsia"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枣庄市市中区综合行政执法局</w:t>
      </w:r>
      <w:r>
        <w:rPr>
          <w:rFonts w:hint="eastAsia" w:ascii="宋体" w:hAnsi="宋体"/>
          <w:b/>
          <w:color w:val="000000"/>
          <w:sz w:val="24"/>
        </w:rPr>
        <w:t>）</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4"/>
        <w:gridCol w:w="953"/>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524" w:type="dxa"/>
            <w:vAlign w:val="top"/>
          </w:tcPr>
          <w:p>
            <w:pPr>
              <w:spacing w:before="240" w:line="150" w:lineRule="exact"/>
              <w:jc w:val="center"/>
              <w:rPr>
                <w:rFonts w:hint="eastAsia" w:ascii="宋体" w:hAnsi="宋体"/>
                <w:b/>
                <w:szCs w:val="21"/>
              </w:rPr>
            </w:pPr>
            <w:r>
              <w:rPr>
                <w:rFonts w:hint="eastAsia" w:ascii="宋体" w:hAnsi="宋体"/>
                <w:b/>
                <w:szCs w:val="21"/>
              </w:rPr>
              <w:t>统计指标</w:t>
            </w:r>
          </w:p>
        </w:tc>
        <w:tc>
          <w:tcPr>
            <w:tcW w:w="953" w:type="dxa"/>
            <w:vAlign w:val="top"/>
          </w:tcPr>
          <w:p>
            <w:pPr>
              <w:spacing w:before="240" w:line="150" w:lineRule="exact"/>
              <w:jc w:val="center"/>
              <w:rPr>
                <w:rFonts w:hint="eastAsia" w:ascii="宋体" w:hAnsi="宋体"/>
                <w:b/>
                <w:szCs w:val="21"/>
              </w:rPr>
            </w:pPr>
            <w:r>
              <w:rPr>
                <w:rFonts w:hint="eastAsia" w:ascii="宋体" w:hAnsi="宋体"/>
                <w:b/>
                <w:szCs w:val="21"/>
              </w:rPr>
              <w:t>单位</w:t>
            </w:r>
          </w:p>
        </w:tc>
        <w:tc>
          <w:tcPr>
            <w:tcW w:w="1045" w:type="dxa"/>
            <w:vAlign w:val="top"/>
          </w:tcPr>
          <w:p>
            <w:pPr>
              <w:spacing w:before="240" w:line="150" w:lineRule="exact"/>
              <w:jc w:val="center"/>
              <w:rPr>
                <w:rFonts w:hint="eastAsia" w:ascii="宋体" w:hAnsi="宋体"/>
                <w:b/>
                <w:szCs w:val="21"/>
              </w:rPr>
            </w:pPr>
            <w:r>
              <w:rPr>
                <w:rFonts w:hint="eastAsia" w:ascii="宋体" w:hAnsi="宋体"/>
                <w:b/>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top"/>
          </w:tcPr>
          <w:p>
            <w:pPr>
              <w:spacing w:before="240" w:line="150" w:lineRule="exact"/>
              <w:rPr>
                <w:rFonts w:hint="eastAsia" w:ascii="黑体" w:hAnsi="宋体" w:eastAsia="黑体"/>
                <w:szCs w:val="21"/>
              </w:rPr>
            </w:pPr>
            <w:r>
              <w:rPr>
                <w:rFonts w:hint="eastAsia" w:ascii="黑体" w:hAnsi="宋体" w:eastAsia="黑体"/>
                <w:szCs w:val="21"/>
              </w:rPr>
              <w:t>一、主动公开情况</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（一）主动公开政府信息数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其中：主动公开规范性文件数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630" w:firstLineChars="300"/>
              <w:rPr>
                <w:rFonts w:hint="eastAsia" w:ascii="宋体" w:hAnsi="宋体"/>
                <w:szCs w:val="21"/>
              </w:rPr>
            </w:pPr>
            <w:r>
              <w:rPr>
                <w:rFonts w:hint="eastAsia" w:ascii="宋体" w:hAnsi="宋体"/>
                <w:szCs w:val="21"/>
              </w:rPr>
              <w:t>制发规范性文件总数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（二）通过不同渠道和方式公开政府信息的情况</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1、政府公报公开政府信息数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2、政府网站公开政府信息数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3、政务微博公开政府信息数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4、政务微信公开政府信息数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5、其他方式公开政府信息数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黑体" w:hAnsi="黑体" w:eastAsia="黑体"/>
                <w:szCs w:val="21"/>
              </w:rPr>
            </w:pPr>
            <w:r>
              <w:rPr>
                <w:rFonts w:hint="eastAsia" w:ascii="黑体" w:hAnsi="黑体" w:eastAsia="黑体"/>
                <w:szCs w:val="21"/>
              </w:rPr>
              <w:t>二、回应解读情况</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（一）回应公众关注热点或重大舆情数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（二）通过不同渠道和方式回应解读的情况</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1、参加或举办新闻发布会总次数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630" w:firstLineChars="300"/>
              <w:rPr>
                <w:rFonts w:hint="eastAsia" w:ascii="宋体" w:hAnsi="宋体"/>
                <w:szCs w:val="21"/>
              </w:rPr>
            </w:pPr>
            <w:r>
              <w:rPr>
                <w:rFonts w:hint="eastAsia" w:ascii="宋体" w:hAnsi="宋体"/>
                <w:szCs w:val="21"/>
              </w:rPr>
              <w:t>其中：主要负责同志参加新闻发布会次数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2、政府网站在线访谈次数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630" w:firstLineChars="300"/>
              <w:rPr>
                <w:rFonts w:hint="eastAsia" w:ascii="宋体" w:hAnsi="宋体"/>
                <w:szCs w:val="21"/>
              </w:rPr>
            </w:pPr>
            <w:r>
              <w:rPr>
                <w:rFonts w:hint="eastAsia" w:ascii="宋体" w:hAnsi="宋体"/>
                <w:szCs w:val="21"/>
              </w:rPr>
              <w:t>其中：主要负责同志参加政府网站在线访谈次数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3、政策解读稿件发布数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篇</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4、微博微信回应事件数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5、其他方式回应事件数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rPr>
                <w:rFonts w:hint="eastAsia" w:ascii="黑体" w:hAnsi="黑体" w:eastAsia="黑体"/>
                <w:szCs w:val="21"/>
              </w:rPr>
            </w:pPr>
            <w:r>
              <w:rPr>
                <w:rFonts w:hint="eastAsia" w:ascii="黑体" w:hAnsi="黑体" w:eastAsia="黑体"/>
                <w:szCs w:val="21"/>
              </w:rPr>
              <w:t>三、依申请公开情况</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（一）收到申请数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1、当面申请数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2、传真申请数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3、网络申请数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4、信函申请数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5、其他形式</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24" w:type="dxa"/>
            <w:vAlign w:val="center"/>
          </w:tcPr>
          <w:p>
            <w:pPr>
              <w:spacing w:before="240" w:line="150" w:lineRule="exact"/>
              <w:rPr>
                <w:rFonts w:hint="eastAsia" w:ascii="宋体" w:hAnsi="宋体"/>
                <w:szCs w:val="21"/>
              </w:rPr>
            </w:pPr>
            <w:r>
              <w:rPr>
                <w:rFonts w:hint="eastAsia" w:ascii="宋体" w:hAnsi="宋体"/>
                <w:szCs w:val="21"/>
              </w:rPr>
              <w:t>（二）申请办结数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1、按时办结数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50" w:lineRule="exact"/>
              <w:ind w:firstLine="210" w:firstLineChars="100"/>
              <w:rPr>
                <w:rFonts w:hint="eastAsia" w:ascii="宋体" w:hAnsi="宋体"/>
                <w:szCs w:val="21"/>
              </w:rPr>
            </w:pPr>
            <w:r>
              <w:rPr>
                <w:rFonts w:hint="eastAsia" w:ascii="宋体" w:hAnsi="宋体"/>
                <w:szCs w:val="21"/>
              </w:rPr>
              <w:t>2、延期办结数</w:t>
            </w:r>
          </w:p>
        </w:tc>
        <w:tc>
          <w:tcPr>
            <w:tcW w:w="953" w:type="dxa"/>
            <w:vAlign w:val="top"/>
          </w:tcPr>
          <w:p>
            <w:pPr>
              <w:spacing w:before="240" w:line="15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（三）申请答复数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1、属于已主动公开范围数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2、同意公开答复数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3、同意部分公开答复数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4、不同意公开答复数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420" w:firstLineChars="200"/>
              <w:rPr>
                <w:rFonts w:hint="eastAsia" w:ascii="宋体" w:hAnsi="宋体"/>
                <w:szCs w:val="21"/>
              </w:rPr>
            </w:pPr>
            <w:r>
              <w:rPr>
                <w:rFonts w:hint="eastAsia" w:ascii="宋体" w:hAnsi="宋体"/>
                <w:szCs w:val="21"/>
              </w:rPr>
              <w:t>其中：涉及国家秘密</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1052" w:firstLineChars="501"/>
              <w:rPr>
                <w:rFonts w:hint="eastAsia" w:ascii="宋体" w:hAnsi="宋体"/>
                <w:szCs w:val="21"/>
              </w:rPr>
            </w:pPr>
            <w:r>
              <w:rPr>
                <w:rFonts w:hint="eastAsia" w:ascii="宋体" w:hAnsi="宋体"/>
                <w:szCs w:val="21"/>
              </w:rPr>
              <w:t>涉及商业秘密</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1052" w:firstLineChars="501"/>
              <w:rPr>
                <w:rFonts w:hint="eastAsia" w:ascii="宋体" w:hAnsi="宋体"/>
                <w:szCs w:val="21"/>
              </w:rPr>
            </w:pPr>
            <w:r>
              <w:rPr>
                <w:rFonts w:hint="eastAsia" w:ascii="宋体" w:hAnsi="宋体"/>
                <w:szCs w:val="21"/>
              </w:rPr>
              <w:t>涉及个人隐私</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1052" w:firstLineChars="501"/>
              <w:rPr>
                <w:rFonts w:hint="eastAsia" w:ascii="宋体" w:hAnsi="宋体"/>
                <w:szCs w:val="21"/>
              </w:rPr>
            </w:pPr>
            <w:r>
              <w:rPr>
                <w:rFonts w:hint="eastAsia" w:ascii="宋体" w:hAnsi="宋体"/>
                <w:szCs w:val="21"/>
              </w:rPr>
              <w:t>危及国家安全、公共安全、经济安全和社会稳定</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1052" w:firstLineChars="501"/>
              <w:rPr>
                <w:rFonts w:hint="eastAsia" w:ascii="宋体" w:hAnsi="宋体"/>
                <w:szCs w:val="21"/>
              </w:rPr>
            </w:pPr>
            <w:r>
              <w:rPr>
                <w:rFonts w:hint="eastAsia" w:ascii="宋体" w:hAnsi="宋体"/>
                <w:szCs w:val="21"/>
              </w:rPr>
              <w:t>不是《条例》所指政府信息</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1052" w:firstLineChars="501"/>
              <w:rPr>
                <w:rFonts w:hint="eastAsia" w:ascii="宋体" w:hAnsi="宋体"/>
                <w:szCs w:val="21"/>
              </w:rPr>
            </w:pPr>
            <w:r>
              <w:rPr>
                <w:rFonts w:hint="eastAsia" w:ascii="宋体" w:hAnsi="宋体"/>
                <w:szCs w:val="21"/>
              </w:rPr>
              <w:t>法律法规规定的其他情形</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5、不属于本行政机关公开数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6、申请信息不存在数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7、告知作出更改补充数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8、告知通过其他途径办理数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四、行政复议数量</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（一）维持具体行政行为数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（二）被依法纠错数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（三）其他情形数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五、行政诉讼数量</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（一）维持具体行政行为或者驳回原告诉讼请求数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（二）被依法纠错数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（三）其他情形数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六、被举报投诉数量</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（一）维持具体行政行为数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（二）被纠错数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（三）其他情形数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件</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七、向图书馆、档案馆等查阅场所报送信息数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（一）纸质文件数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（二）电子文件数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八、机构建设和保障经费情况</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（一）政府信息公开工作专门机构数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个</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（二）设置政府信息公开查阅点数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个</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（三）从事政府信息公开工作人员数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人</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1、专职人员数（不包括政府公报及政府网站工作人员数）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人</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ind w:firstLine="210" w:firstLineChars="100"/>
              <w:rPr>
                <w:rFonts w:hint="eastAsia" w:ascii="宋体" w:hAnsi="宋体"/>
                <w:szCs w:val="21"/>
              </w:rPr>
            </w:pPr>
            <w:r>
              <w:rPr>
                <w:rFonts w:hint="eastAsia" w:ascii="宋体" w:hAnsi="宋体"/>
                <w:szCs w:val="21"/>
              </w:rPr>
              <w:t>2、兼职人员数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人</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rPr>
                <w:rFonts w:hint="eastAsia" w:ascii="宋体" w:hAnsi="宋体"/>
                <w:szCs w:val="21"/>
              </w:rPr>
            </w:pPr>
            <w:r>
              <w:rPr>
                <w:rFonts w:hint="eastAsia" w:ascii="宋体" w:hAnsi="宋体"/>
                <w:szCs w:val="21"/>
              </w:rPr>
              <w:t>（四）政府信息公开专项经费（不包括用于政府公报编辑管理及政府网站建设维护等方面的经费）</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万元</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黑体" w:hAnsi="黑体" w:eastAsia="黑体"/>
                <w:szCs w:val="21"/>
              </w:rPr>
            </w:pPr>
            <w:r>
              <w:rPr>
                <w:rFonts w:hint="eastAsia" w:ascii="黑体" w:hAnsi="黑体" w:eastAsia="黑体"/>
                <w:szCs w:val="21"/>
              </w:rPr>
              <w:t>九、政府信息公开会议和培训情况</w:t>
            </w:r>
          </w:p>
        </w:tc>
        <w:tc>
          <w:tcPr>
            <w:tcW w:w="953" w:type="dxa"/>
            <w:vAlign w:val="center"/>
          </w:tcPr>
          <w:p>
            <w:pPr>
              <w:spacing w:before="240" w:line="140" w:lineRule="exact"/>
              <w:jc w:val="center"/>
              <w:rPr>
                <w:rFonts w:hint="eastAsia" w:ascii="宋体" w:hAnsi="宋体"/>
                <w:szCs w:val="21"/>
              </w:rPr>
            </w:pPr>
            <w:r>
              <w:rPr>
                <w:rFonts w:hint="eastAsia" w:ascii="宋体" w:hAnsi="宋体"/>
                <w:szCs w:val="21"/>
              </w:rPr>
              <w:t>——</w:t>
            </w:r>
          </w:p>
        </w:tc>
        <w:tc>
          <w:tcPr>
            <w:tcW w:w="1045" w:type="dxa"/>
            <w:vAlign w:val="top"/>
          </w:tcPr>
          <w:p>
            <w:pPr>
              <w:spacing w:before="240" w:line="150" w:lineRule="exact"/>
              <w:jc w:val="cente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（一）召开政府信息公开工作会议或专题会议数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（二）举办各类培训班数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524" w:type="dxa"/>
            <w:vAlign w:val="center"/>
          </w:tcPr>
          <w:p>
            <w:pPr>
              <w:spacing w:before="240" w:line="140" w:lineRule="exact"/>
              <w:rPr>
                <w:rFonts w:hint="eastAsia" w:ascii="宋体" w:hAnsi="宋体"/>
                <w:szCs w:val="21"/>
              </w:rPr>
            </w:pPr>
            <w:r>
              <w:rPr>
                <w:rFonts w:hint="eastAsia" w:ascii="宋体" w:hAnsi="宋体"/>
                <w:szCs w:val="21"/>
              </w:rPr>
              <w:t>（三）接受培训人员数</w:t>
            </w:r>
          </w:p>
        </w:tc>
        <w:tc>
          <w:tcPr>
            <w:tcW w:w="953" w:type="dxa"/>
            <w:vAlign w:val="top"/>
          </w:tcPr>
          <w:p>
            <w:pPr>
              <w:spacing w:before="240" w:line="140" w:lineRule="exact"/>
              <w:jc w:val="center"/>
              <w:rPr>
                <w:rFonts w:hint="eastAsia" w:ascii="宋体" w:hAnsi="宋体"/>
                <w:szCs w:val="21"/>
              </w:rPr>
            </w:pPr>
            <w:r>
              <w:rPr>
                <w:rFonts w:hint="eastAsia" w:ascii="宋体" w:hAnsi="宋体"/>
                <w:szCs w:val="21"/>
              </w:rPr>
              <w:t>人次</w:t>
            </w:r>
          </w:p>
        </w:tc>
        <w:tc>
          <w:tcPr>
            <w:tcW w:w="1045" w:type="dxa"/>
            <w:vAlign w:val="top"/>
          </w:tcPr>
          <w:p>
            <w:pPr>
              <w:spacing w:before="240" w:line="150" w:lineRule="exact"/>
              <w:jc w:val="center"/>
              <w:rPr>
                <w:rFonts w:hint="eastAsia" w:ascii="宋体" w:hAnsi="宋体" w:eastAsiaTheme="minorEastAsia"/>
                <w:szCs w:val="21"/>
                <w:lang w:val="en-US" w:eastAsia="zh-CN"/>
              </w:rPr>
            </w:pPr>
            <w:r>
              <w:rPr>
                <w:rFonts w:hint="eastAsia" w:ascii="宋体" w:hAnsi="宋体"/>
                <w:szCs w:val="21"/>
                <w:lang w:val="en-US" w:eastAsia="zh-CN"/>
              </w:rPr>
              <w:t>12</w:t>
            </w:r>
          </w:p>
        </w:tc>
      </w:tr>
    </w:tbl>
    <w:p>
      <w:pPr>
        <w:spacing w:line="580" w:lineRule="exact"/>
        <w:rPr>
          <w:rFonts w:hint="eastAsia" w:ascii="Arial" w:hAnsi="Arial" w:cs="Arial"/>
          <w:color w:val="000000"/>
          <w:kern w:val="0"/>
          <w:sz w:val="18"/>
          <w:szCs w:val="18"/>
        </w:rPr>
      </w:pPr>
      <w:r>
        <w:rPr>
          <w:rFonts w:hint="eastAsia" w:ascii="Arial" w:hAnsi="Arial" w:cs="Arial"/>
          <w:color w:val="000000"/>
          <w:kern w:val="0"/>
          <w:sz w:val="18"/>
          <w:szCs w:val="18"/>
        </w:rPr>
        <w:t>（注：各子栏目累计数要等于总栏目数量）</w:t>
      </w:r>
    </w:p>
    <w:p>
      <w:pPr>
        <w:spacing w:line="540" w:lineRule="exact"/>
        <w:ind w:firstLine="640" w:firstLineChars="200"/>
        <w:jc w:val="right"/>
        <w:rPr>
          <w:rFonts w:hint="eastAsia" w:ascii="仿宋_GB2312"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left"/>
        <w:rPr>
          <w:rFonts w:hint="eastAsia" w:ascii="仿宋" w:hAnsi="仿宋" w:eastAsia="仿宋" w:cs="仿宋"/>
          <w:b w:val="0"/>
          <w:i w:val="0"/>
          <w:caps w:val="0"/>
          <w:color w:val="333333"/>
          <w:spacing w:val="0"/>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209F"/>
    <w:rsid w:val="057E206E"/>
    <w:rsid w:val="31BC3104"/>
    <w:rsid w:val="58643D11"/>
    <w:rsid w:val="5C481DDB"/>
    <w:rsid w:val="6F8E5A11"/>
    <w:rsid w:val="73CC38A6"/>
    <w:rsid w:val="794F06AD"/>
    <w:rsid w:val="7D33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小光</cp:lastModifiedBy>
  <dcterms:modified xsi:type="dcterms:W3CDTF">2018-01-24T09:15:52Z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