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color="auto" w:fill="auto"/>
        <w:bidi w:val="0"/>
        <w:spacing w:before="0" w:after="0" w:line="800" w:lineRule="exact"/>
        <w:ind w:left="0" w:right="0" w:firstLine="0"/>
        <w:jc w:val="center"/>
        <w:rPr>
          <w:rFonts w:hint="eastAsia" w:ascii="华文中宋" w:hAnsi="华文中宋" w:eastAsia="华文中宋" w:cs="华文中宋"/>
          <w:b/>
          <w:bCs w:val="0"/>
          <w:spacing w:val="0"/>
          <w:w w:val="100"/>
          <w:kern w:val="2"/>
          <w:position w:val="0"/>
          <w:sz w:val="44"/>
          <w:szCs w:val="44"/>
          <w:shd w:val="clear" w:color="auto" w:fill="auto"/>
          <w:lang w:val="en-US" w:eastAsia="zh-CN" w:bidi="ar-SA"/>
        </w:rPr>
      </w:pPr>
      <w:r>
        <w:rPr>
          <w:rFonts w:hint="eastAsia" w:ascii="华文中宋" w:hAnsi="华文中宋" w:eastAsia="华文中宋" w:cs="华文中宋"/>
          <w:b/>
          <w:bCs w:val="0"/>
          <w:spacing w:val="0"/>
          <w:w w:val="100"/>
          <w:kern w:val="2"/>
          <w:position w:val="0"/>
          <w:sz w:val="44"/>
          <w:szCs w:val="44"/>
          <w:shd w:val="clear" w:color="auto" w:fill="auto"/>
          <w:lang w:val="en-US" w:eastAsia="zh-CN" w:bidi="ar-SA"/>
        </w:rPr>
        <w:t>市中区全面推行证明事项告知承诺制</w:t>
      </w:r>
    </w:p>
    <w:p>
      <w:pPr>
        <w:keepNext w:val="0"/>
        <w:keepLines w:val="0"/>
        <w:shd w:val="clear" w:color="auto" w:fill="auto"/>
        <w:bidi w:val="0"/>
        <w:spacing w:before="0" w:after="0" w:line="800" w:lineRule="exact"/>
        <w:ind w:left="0" w:right="0" w:firstLine="0"/>
        <w:jc w:val="center"/>
        <w:rPr>
          <w:rFonts w:hint="eastAsia" w:ascii="华文中宋" w:hAnsi="华文中宋" w:eastAsia="华文中宋" w:cs="华文中宋"/>
          <w:b/>
          <w:bCs w:val="0"/>
          <w:spacing w:val="0"/>
          <w:w w:val="100"/>
          <w:kern w:val="2"/>
          <w:position w:val="0"/>
          <w:sz w:val="44"/>
          <w:szCs w:val="44"/>
          <w:shd w:val="clear" w:color="auto" w:fill="auto"/>
          <w:lang w:val="en-US" w:eastAsia="zh-CN" w:bidi="ar-SA"/>
        </w:rPr>
      </w:pPr>
      <w:r>
        <w:rPr>
          <w:rFonts w:hint="eastAsia" w:ascii="华文中宋" w:hAnsi="华文中宋" w:eastAsia="华文中宋" w:cs="华文中宋"/>
          <w:b/>
          <w:bCs w:val="0"/>
          <w:spacing w:val="0"/>
          <w:w w:val="100"/>
          <w:kern w:val="2"/>
          <w:position w:val="0"/>
          <w:sz w:val="44"/>
          <w:szCs w:val="44"/>
          <w:shd w:val="clear" w:color="auto" w:fill="auto"/>
          <w:lang w:val="en-US" w:eastAsia="zh-CN" w:bidi="ar-SA"/>
        </w:rPr>
        <w:t>实施方案（征求意见稿）</w:t>
      </w:r>
    </w:p>
    <w:p>
      <w:pPr>
        <w:spacing w:line="600" w:lineRule="exact"/>
        <w:jc w:val="center"/>
        <w:rPr>
          <w:rFonts w:ascii="方正小标宋简体" w:hAnsi="仿宋" w:eastAsia="方正小标宋简体" w:cs="仿宋"/>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为进一步优化营商环境，激发市场主体发展活力和社会创造力，根据《山东省人民政府办公厅关于印发山东省全面推行证明事项告知承诺制实施方案的通知》（鲁政办发〔2020〕29号）</w:t>
      </w:r>
      <w:r>
        <w:rPr>
          <w:rFonts w:hint="eastAsia" w:ascii="仿宋" w:hAnsi="仿宋" w:eastAsia="仿宋" w:cs="仿宋"/>
          <w:sz w:val="32"/>
          <w:szCs w:val="32"/>
          <w:lang w:val="en-US" w:eastAsia="zh-CN"/>
        </w:rPr>
        <w:t>以及《枣庄市全面推进证明事项告知承诺制实施方案》（枣司发</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7号）</w:t>
      </w:r>
      <w:r>
        <w:rPr>
          <w:rFonts w:hint="eastAsia" w:ascii="仿宋" w:hAnsi="仿宋" w:eastAsia="仿宋" w:cs="仿宋"/>
          <w:sz w:val="32"/>
          <w:szCs w:val="32"/>
        </w:rPr>
        <w:t>的要求，结合我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实际，制定本实施方案。</w:t>
      </w:r>
    </w:p>
    <w:p>
      <w:pPr>
        <w:ind w:firstLine="640" w:firstLineChars="200"/>
        <w:rPr>
          <w:rFonts w:ascii="黑体" w:hAnsi="黑体" w:eastAsia="黑体" w:cs="仿宋"/>
          <w:sz w:val="32"/>
          <w:szCs w:val="32"/>
        </w:rPr>
      </w:pPr>
      <w:r>
        <w:rPr>
          <w:rFonts w:hint="eastAsia" w:ascii="黑体" w:hAnsi="黑体" w:eastAsia="黑体" w:cs="仿宋"/>
          <w:sz w:val="32"/>
          <w:szCs w:val="32"/>
        </w:rPr>
        <w:t>一、确定告知承诺制事项范围</w:t>
      </w:r>
    </w:p>
    <w:p>
      <w:pPr>
        <w:ind w:firstLine="640" w:firstLineChars="200"/>
        <w:rPr>
          <w:rFonts w:ascii="仿宋" w:hAnsi="仿宋" w:eastAsia="仿宋" w:cs="仿宋"/>
          <w:b/>
          <w:bCs/>
          <w:sz w:val="32"/>
          <w:szCs w:val="32"/>
        </w:rPr>
      </w:pPr>
      <w:r>
        <w:rPr>
          <w:rFonts w:hint="eastAsia" w:ascii="楷体_GB2312" w:hAnsi="仿宋" w:eastAsia="楷体_GB2312" w:cs="仿宋"/>
          <w:sz w:val="32"/>
          <w:szCs w:val="32"/>
        </w:rPr>
        <w:t>（一）事项梳理原则。</w:t>
      </w:r>
      <w:r>
        <w:rPr>
          <w:rFonts w:hint="eastAsia" w:ascii="仿宋" w:hAnsi="仿宋" w:eastAsia="仿宋" w:cs="仿宋"/>
          <w:sz w:val="32"/>
          <w:szCs w:val="32"/>
        </w:rPr>
        <w:t>按照最大限度便民利民原则，对照已公布的本系统证明事项实施清单，梳理与企业和群众生产生活密切相关，使用频次较高或者当事人获取难度较大、行政机关容易核查的证明事项，实行告知承诺制。可以依托电子证照库，通过数据共享实现在线核查的法定证照类证明事项，原则上实行告知承诺制。在户籍管理、市场主体准营、资格考试、社会保险、社会救助、健康体检、法律服务等领域办理行政许可、行政确认、行政给付等行政事项时需要的证明事项，要重点推行告知承诺制。</w:t>
      </w:r>
      <w:r>
        <w:rPr>
          <w:rFonts w:hint="eastAsia" w:ascii="仿宋" w:hAnsi="仿宋" w:eastAsia="仿宋" w:cs="仿宋"/>
          <w:b/>
          <w:bCs/>
          <w:sz w:val="32"/>
          <w:szCs w:val="32"/>
        </w:rPr>
        <w:t>直接涉及国家安全、国家秘密、公共安全、金融业审慎监管、生态环境保护，直接关系人身健康、生命财产安全，以及重要涉外等风险较大、纠错成本较高、损害难以挽回的证明事项不适用告知承诺制。</w:t>
      </w:r>
    </w:p>
    <w:p>
      <w:pPr>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（二）编制公布事项清单。</w:t>
      </w:r>
      <w:r>
        <w:rPr>
          <w:rFonts w:hint="eastAsia" w:ascii="仿宋_GB2312" w:eastAsia="仿宋_GB2312"/>
          <w:sz w:val="32"/>
          <w:szCs w:val="32"/>
        </w:rPr>
        <w:t>对</w:t>
      </w:r>
      <w:r>
        <w:rPr>
          <w:rFonts w:hint="eastAsia" w:ascii="仿宋_GB2312" w:eastAsia="仿宋_GB2312"/>
          <w:color w:val="000000"/>
          <w:sz w:val="32"/>
          <w:szCs w:val="32"/>
        </w:rPr>
        <w:t>照省级</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市级</w:t>
      </w:r>
      <w:r>
        <w:rPr>
          <w:rFonts w:hint="eastAsia" w:ascii="仿宋_GB2312" w:eastAsia="仿宋_GB2312"/>
          <w:color w:val="000000"/>
          <w:sz w:val="32"/>
          <w:szCs w:val="32"/>
        </w:rPr>
        <w:t>主管</w:t>
      </w:r>
      <w:r>
        <w:rPr>
          <w:rFonts w:hint="eastAsia" w:ascii="仿宋_GB2312" w:eastAsia="仿宋_GB2312"/>
          <w:sz w:val="32"/>
          <w:szCs w:val="32"/>
        </w:rPr>
        <w:t>部门</w:t>
      </w:r>
      <w:r>
        <w:rPr>
          <w:rFonts w:hint="eastAsia" w:ascii="仿宋_GB2312" w:hAnsi="仿宋" w:eastAsia="仿宋_GB2312" w:cs="仿宋"/>
          <w:sz w:val="32"/>
          <w:szCs w:val="32"/>
        </w:rPr>
        <w:t>编制的实行告知承诺制的证明事项通用清单，</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级行政机关在全部认领清单的基础上，结合</w:t>
      </w:r>
      <w:r>
        <w:rPr>
          <w:rFonts w:hint="eastAsia" w:ascii="仿宋_GB2312" w:hAnsi="仿宋" w:eastAsia="仿宋_GB2312" w:cs="仿宋"/>
          <w:sz w:val="32"/>
          <w:szCs w:val="32"/>
          <w:lang w:val="en-US" w:eastAsia="zh-CN"/>
        </w:rPr>
        <w:t>市中区</w:t>
      </w:r>
      <w:r>
        <w:rPr>
          <w:rFonts w:hint="eastAsia" w:ascii="仿宋_GB2312" w:hAnsi="仿宋" w:eastAsia="仿宋_GB2312" w:cs="仿宋"/>
          <w:sz w:val="32"/>
          <w:szCs w:val="32"/>
        </w:rPr>
        <w:t>实际，编制实行告知承诺制的证明事项清单。要适当扩大清单范围，将更多的事项纳入本地清单。报</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司法局审核后，由</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政府公布实施，全</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各级行政机关统一适用。</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（三）建立动态调整机制。</w:t>
      </w:r>
      <w:r>
        <w:rPr>
          <w:rFonts w:hint="eastAsia" w:ascii="仿宋" w:hAnsi="仿宋" w:eastAsia="仿宋" w:cs="仿宋"/>
          <w:sz w:val="32"/>
          <w:szCs w:val="32"/>
        </w:rPr>
        <w:t>根据行政事项的调整情况和告知承诺制推行情况，适时调整实行告知承诺制的证明事项清单。需要调整的，相关</w:t>
      </w:r>
      <w:r>
        <w:rPr>
          <w:rFonts w:hint="eastAsia" w:ascii="仿宋" w:hAnsi="仿宋" w:eastAsia="仿宋" w:cs="仿宋"/>
          <w:sz w:val="32"/>
          <w:szCs w:val="32"/>
          <w:lang w:val="en-US" w:eastAsia="zh-CN"/>
        </w:rPr>
        <w:t>区</w:t>
      </w:r>
      <w:r>
        <w:rPr>
          <w:rFonts w:hint="eastAsia" w:ascii="仿宋" w:hAnsi="仿宋" w:eastAsia="仿宋" w:cs="仿宋"/>
          <w:sz w:val="32"/>
          <w:szCs w:val="32"/>
        </w:rPr>
        <w:t>级行政机关向</w:t>
      </w:r>
      <w:r>
        <w:rPr>
          <w:rFonts w:hint="eastAsia" w:ascii="仿宋" w:hAnsi="仿宋" w:eastAsia="仿宋" w:cs="仿宋"/>
          <w:sz w:val="32"/>
          <w:szCs w:val="32"/>
          <w:lang w:val="en-US" w:eastAsia="zh-CN"/>
        </w:rPr>
        <w:t>区</w:t>
      </w:r>
      <w:r>
        <w:rPr>
          <w:rFonts w:hint="eastAsia" w:ascii="仿宋" w:hAnsi="仿宋" w:eastAsia="仿宋" w:cs="仿宋"/>
          <w:sz w:val="32"/>
          <w:szCs w:val="32"/>
        </w:rPr>
        <w:t>司法局提交申请和依据，经审核后公布实施，并将公布后的清单于7个工作日内报送备案。</w:t>
      </w:r>
      <w:r>
        <w:rPr>
          <w:rFonts w:hint="eastAsia" w:ascii="仿宋" w:hAnsi="仿宋" w:eastAsia="仿宋" w:cs="仿宋"/>
          <w:sz w:val="32"/>
          <w:szCs w:val="32"/>
          <w:lang w:val="en-US" w:eastAsia="zh-CN"/>
        </w:rPr>
        <w:t>区级各部门</w:t>
      </w:r>
      <w:r>
        <w:rPr>
          <w:rFonts w:hint="eastAsia" w:ascii="仿宋" w:hAnsi="仿宋" w:eastAsia="仿宋" w:cs="仿宋"/>
          <w:sz w:val="32"/>
          <w:szCs w:val="32"/>
        </w:rPr>
        <w:t>需要调整清单的，由</w:t>
      </w:r>
      <w:r>
        <w:rPr>
          <w:rFonts w:hint="eastAsia" w:ascii="仿宋" w:hAnsi="仿宋" w:eastAsia="仿宋" w:cs="仿宋"/>
          <w:sz w:val="32"/>
          <w:szCs w:val="32"/>
          <w:lang w:val="en-US" w:eastAsia="zh-CN"/>
        </w:rPr>
        <w:t>区</w:t>
      </w:r>
      <w:r>
        <w:rPr>
          <w:rFonts w:hint="eastAsia" w:ascii="仿宋" w:hAnsi="仿宋" w:eastAsia="仿宋" w:cs="仿宋"/>
          <w:sz w:val="32"/>
          <w:szCs w:val="32"/>
        </w:rPr>
        <w:t>司法局审核后公布，并逐级报市司法局、省司法厅备案。</w:t>
      </w:r>
    </w:p>
    <w:p>
      <w:pPr>
        <w:ind w:firstLine="640" w:firstLineChars="200"/>
        <w:rPr>
          <w:rFonts w:ascii="黑体" w:hAnsi="黑体" w:eastAsia="黑体" w:cs="仿宋"/>
          <w:sz w:val="32"/>
          <w:szCs w:val="32"/>
        </w:rPr>
      </w:pPr>
      <w:r>
        <w:rPr>
          <w:rFonts w:hint="eastAsia" w:ascii="黑体" w:hAnsi="黑体" w:eastAsia="黑体" w:cs="仿宋"/>
          <w:sz w:val="32"/>
          <w:szCs w:val="32"/>
        </w:rPr>
        <w:t>二、规范告知承诺制工作流程</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（一）制定工作规程。</w:t>
      </w:r>
      <w:r>
        <w:rPr>
          <w:rFonts w:hint="eastAsia" w:ascii="仿宋" w:hAnsi="仿宋" w:eastAsia="仿宋" w:cs="仿宋"/>
          <w:sz w:val="32"/>
          <w:szCs w:val="32"/>
          <w:lang w:val="en-US" w:eastAsia="zh-CN"/>
        </w:rPr>
        <w:t>区</w:t>
      </w:r>
      <w:r>
        <w:rPr>
          <w:rFonts w:hint="eastAsia" w:ascii="仿宋" w:hAnsi="仿宋" w:eastAsia="仿宋" w:cs="仿宋"/>
          <w:sz w:val="32"/>
          <w:szCs w:val="32"/>
        </w:rPr>
        <w:t>司法局将根据省级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市级</w:t>
      </w:r>
      <w:r>
        <w:rPr>
          <w:rFonts w:hint="eastAsia" w:ascii="仿宋" w:hAnsi="仿宋" w:eastAsia="仿宋" w:cs="仿宋"/>
          <w:sz w:val="32"/>
          <w:szCs w:val="32"/>
        </w:rPr>
        <w:t>通用性工作规程，进一步规范我</w:t>
      </w:r>
      <w:r>
        <w:rPr>
          <w:rFonts w:hint="eastAsia" w:ascii="仿宋" w:hAnsi="仿宋" w:eastAsia="仿宋" w:cs="仿宋"/>
          <w:sz w:val="32"/>
          <w:szCs w:val="32"/>
          <w:lang w:val="en-US" w:eastAsia="zh-CN"/>
        </w:rPr>
        <w:t>区</w:t>
      </w:r>
      <w:r>
        <w:rPr>
          <w:rFonts w:hint="eastAsia" w:ascii="仿宋" w:hAnsi="仿宋" w:eastAsia="仿宋" w:cs="仿宋"/>
          <w:sz w:val="32"/>
          <w:szCs w:val="32"/>
        </w:rPr>
        <w:t>实行证明事项告知承诺制涉及的相关单位和当事人权利义务、告知内容、承诺内容、核查要求、办理程序、信用管理、法律责任等，为实行告知承诺制提供操作指引。</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（二）制作格式文本。</w:t>
      </w:r>
      <w:r>
        <w:rPr>
          <w:rFonts w:hint="eastAsia" w:ascii="仿宋" w:hAnsi="仿宋" w:eastAsia="仿宋" w:cs="仿宋"/>
          <w:sz w:val="32"/>
          <w:szCs w:val="32"/>
        </w:rPr>
        <w:t>各相关部门根据通用性工作规程，制作书面告知书和书面承诺书格式文本，在证明事项通用清单公布后10个工作日内，通过相关服务场所、网站和政务服务平台等公布，方便申请人查阅、索取、使用。</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（三）完善办事指南。</w:t>
      </w:r>
      <w:r>
        <w:rPr>
          <w:rFonts w:hint="eastAsia" w:ascii="仿宋" w:hAnsi="仿宋" w:eastAsia="仿宋" w:cs="仿宋"/>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公告。</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（四）明确公开事项。</w:t>
      </w:r>
      <w:r>
        <w:rPr>
          <w:rFonts w:hint="eastAsia" w:ascii="仿宋" w:hAnsi="仿宋" w:eastAsia="仿宋" w:cs="仿宋"/>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p>
    <w:p>
      <w:pPr>
        <w:ind w:firstLine="640" w:firstLineChars="200"/>
        <w:rPr>
          <w:rFonts w:ascii="黑体" w:hAnsi="黑体" w:eastAsia="黑体" w:cs="仿宋"/>
          <w:sz w:val="32"/>
          <w:szCs w:val="32"/>
        </w:rPr>
      </w:pPr>
      <w:r>
        <w:rPr>
          <w:rFonts w:hint="eastAsia" w:ascii="黑体" w:hAnsi="黑体" w:eastAsia="黑体" w:cs="仿宋"/>
          <w:sz w:val="32"/>
          <w:szCs w:val="32"/>
        </w:rPr>
        <w:t>三、强化告知承诺制核查与监管</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（一）分类确定核查办法。</w:t>
      </w:r>
      <w:r>
        <w:rPr>
          <w:rFonts w:hint="eastAsia" w:ascii="仿宋" w:hAnsi="仿宋" w:eastAsia="仿宋" w:cs="仿宋"/>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（二）建立健全核查机制。</w:t>
      </w:r>
      <w:r>
        <w:rPr>
          <w:rFonts w:hint="eastAsia" w:ascii="楷体_GB2312" w:hAnsi="仿宋" w:eastAsia="楷体_GB2312" w:cs="仿宋"/>
          <w:sz w:val="32"/>
          <w:szCs w:val="32"/>
          <w:lang w:val="en-US" w:eastAsia="zh-CN"/>
        </w:rPr>
        <w:t>区</w:t>
      </w:r>
      <w:r>
        <w:rPr>
          <w:rFonts w:hint="eastAsia" w:ascii="仿宋" w:hAnsi="仿宋" w:eastAsia="仿宋" w:cs="仿宋"/>
          <w:sz w:val="32"/>
          <w:szCs w:val="32"/>
        </w:rPr>
        <w:t>大数据局要通过一体化在线政务服务平台、一体化大数据平台等，有效整合信息资源，为实现信息核查提供技术支撑。对于需要在线核查但暂时未实现的或者需要其他行政机关协助核查的，</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司法局牵头组织编制行政协助事项清单，有关行政机关要积极配合，建立需求单位和协助单位的协同配合工作机制。 </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（三）加强事中事后监管。</w:t>
      </w:r>
      <w:r>
        <w:rPr>
          <w:rFonts w:hint="eastAsia" w:ascii="仿宋" w:hAnsi="仿宋" w:eastAsia="仿宋" w:cs="仿宋"/>
          <w:sz w:val="32"/>
          <w:szCs w:val="32"/>
        </w:rPr>
        <w:t>对于通过告知承诺制办理的行政事项，尤其是免于信息核查办理的行政事项，各相关单位要综合运用“双随机、一公开”监管、重点监管、“互联网+监管”、智慧监管等方式加强日常监管，有效规避行业管理风险。行政事项办理单位和行业监管部门不一致的，行政事项办理单位确定免于核查的，要充分征求行业监管部门意见，明确双方权责，建立协调配合、信息共享等工作机制，避免监管真空、监管缺位。在信息核查和事中事后监管中发现承诺不实的，要依法终止办理、责令限期整改、撤销行政决定或者予以行政处罚。涉嫌犯罪的，依法移送司法机关。</w:t>
      </w:r>
    </w:p>
    <w:p>
      <w:pPr>
        <w:ind w:firstLine="640" w:firstLineChars="200"/>
        <w:rPr>
          <w:rFonts w:ascii="黑体" w:hAnsi="黑体" w:eastAsia="黑体" w:cs="仿宋"/>
          <w:sz w:val="32"/>
          <w:szCs w:val="32"/>
        </w:rPr>
      </w:pPr>
      <w:r>
        <w:rPr>
          <w:rFonts w:hint="eastAsia" w:ascii="黑体" w:hAnsi="黑体" w:eastAsia="黑体" w:cs="仿宋"/>
          <w:sz w:val="32"/>
          <w:szCs w:val="32"/>
        </w:rPr>
        <w:t>四、完善告知承诺制信用管理</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（一）建立管理机制。</w:t>
      </w:r>
      <w:r>
        <w:rPr>
          <w:rFonts w:hint="eastAsia" w:ascii="仿宋" w:hAnsi="仿宋" w:eastAsia="仿宋" w:cs="仿宋"/>
          <w:sz w:val="32"/>
          <w:szCs w:val="32"/>
          <w:lang w:val="en-US" w:eastAsia="zh-CN"/>
        </w:rPr>
        <w:t>区</w:t>
      </w:r>
      <w:r>
        <w:rPr>
          <w:rFonts w:hint="eastAsia" w:ascii="仿宋" w:hAnsi="仿宋" w:eastAsia="仿宋" w:cs="仿宋"/>
          <w:sz w:val="32"/>
          <w:szCs w:val="32"/>
        </w:rPr>
        <w:t>发展改革</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司法局牵头建立告知承诺信用信息归集、推送、管理、使用等工作机制。依法科学界定告知承诺失信行为，明确相应失信惩戒措施，探索建立信用修复、异议处理机制。各相关单位要通过公共信用信息平台、国家企业信用信息公示系统（山东）将承诺信息及履行承诺情况全面纳入信用记录。</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（二）加强信用管理。</w:t>
      </w:r>
      <w:r>
        <w:rPr>
          <w:rFonts w:hint="eastAsia" w:ascii="仿宋" w:hAnsi="仿宋" w:eastAsia="仿宋" w:cs="仿宋"/>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p>
    <w:p>
      <w:pPr>
        <w:ind w:firstLine="640" w:firstLineChars="200"/>
        <w:rPr>
          <w:rFonts w:ascii="黑体" w:hAnsi="黑体" w:eastAsia="黑体" w:cs="仿宋"/>
          <w:sz w:val="32"/>
          <w:szCs w:val="32"/>
        </w:rPr>
      </w:pPr>
      <w:r>
        <w:rPr>
          <w:rFonts w:hint="eastAsia" w:ascii="黑体" w:hAnsi="黑体" w:eastAsia="黑体" w:cs="仿宋"/>
          <w:sz w:val="32"/>
          <w:szCs w:val="32"/>
        </w:rPr>
        <w:t>五、加强实施组织保障</w:t>
      </w:r>
    </w:p>
    <w:p>
      <w:pPr>
        <w:ind w:firstLine="640" w:firstLineChars="200"/>
        <w:rPr>
          <w:rFonts w:hint="eastAsia" w:ascii="仿宋" w:hAnsi="仿宋" w:eastAsia="仿宋" w:cs="仿宋"/>
          <w:color w:val="FF0000"/>
          <w:sz w:val="32"/>
          <w:szCs w:val="32"/>
        </w:rPr>
      </w:pPr>
      <w:r>
        <w:rPr>
          <w:rFonts w:hint="eastAsia" w:ascii="楷体_GB2312" w:hAnsi="仿宋" w:eastAsia="楷体_GB2312" w:cs="仿宋"/>
          <w:sz w:val="32"/>
          <w:szCs w:val="32"/>
        </w:rPr>
        <w:t>（一）加强组织领导。</w:t>
      </w:r>
      <w:r>
        <w:rPr>
          <w:rFonts w:hint="eastAsia" w:ascii="仿宋" w:hAnsi="仿宋" w:eastAsia="仿宋" w:cs="仿宋"/>
          <w:sz w:val="32"/>
          <w:szCs w:val="32"/>
        </w:rPr>
        <w:t>各部门的主要负责同志作为本部门全面推行告知承诺制工作的第一责任人，负责推进工作落实。要建立审改、司法行政、政务服务、信息公开、大数据、发展改革、公安、财政、税务、市场监管等单位参加的全面推行告知承诺制工作协调机制。</w:t>
      </w:r>
      <w:r>
        <w:rPr>
          <w:rFonts w:hint="eastAsia" w:ascii="仿宋" w:hAnsi="仿宋" w:eastAsia="仿宋" w:cs="仿宋"/>
          <w:sz w:val="32"/>
          <w:szCs w:val="32"/>
          <w:lang w:val="en-US" w:eastAsia="zh-CN"/>
        </w:rPr>
        <w:t>区</w:t>
      </w:r>
      <w:r>
        <w:rPr>
          <w:rFonts w:hint="eastAsia" w:ascii="仿宋" w:hAnsi="仿宋" w:eastAsia="仿宋" w:cs="仿宋"/>
          <w:sz w:val="32"/>
          <w:szCs w:val="32"/>
        </w:rPr>
        <w:t>级行政机关、单位要加强对下指导和系统规范，加强制度建设，强化标准统一。</w:t>
      </w:r>
      <w:r>
        <w:rPr>
          <w:rFonts w:hint="eastAsia" w:ascii="仿宋" w:hAnsi="仿宋" w:eastAsia="仿宋" w:cs="仿宋"/>
          <w:sz w:val="32"/>
          <w:szCs w:val="32"/>
          <w:lang w:val="en-US" w:eastAsia="zh-CN"/>
        </w:rPr>
        <w:t>区</w:t>
      </w:r>
      <w:r>
        <w:rPr>
          <w:rFonts w:hint="eastAsia" w:ascii="仿宋" w:hAnsi="仿宋" w:eastAsia="仿宋" w:cs="仿宋"/>
          <w:sz w:val="32"/>
          <w:szCs w:val="32"/>
        </w:rPr>
        <w:t>级司法行政部门要做好全面推行证明事项告知承诺制的指导协调、监督检查和跟踪评估等工作。</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（二）强化风险防范。</w:t>
      </w:r>
      <w:r>
        <w:rPr>
          <w:rFonts w:hint="eastAsia" w:ascii="仿宋" w:hAnsi="仿宋" w:eastAsia="仿宋" w:cs="仿宋"/>
          <w:sz w:val="32"/>
          <w:szCs w:val="32"/>
        </w:rPr>
        <w:t>各部门要将风险防范贯穿推行证明事项告知承诺制工作始终，综合考虑法律风险、安全风险、社会风险等，制定防控措施。对涉及经济利益价值较高、事中事后核查难度较大的事项，探索引入责任保险制度。</w:t>
      </w:r>
    </w:p>
    <w:p>
      <w:pPr>
        <w:ind w:firstLine="640" w:firstLineChars="200"/>
        <w:rPr>
          <w:rFonts w:ascii="仿宋" w:hAnsi="仿宋" w:eastAsia="仿宋" w:cs="仿宋"/>
          <w:sz w:val="32"/>
          <w:szCs w:val="32"/>
        </w:rPr>
      </w:pPr>
      <w:r>
        <w:rPr>
          <w:rFonts w:hint="eastAsia" w:ascii="楷体_GB2312" w:hAnsi="仿宋" w:eastAsia="楷体_GB2312" w:cs="仿宋"/>
          <w:sz w:val="32"/>
          <w:szCs w:val="32"/>
        </w:rPr>
        <w:t>（三）加强培训指导。</w:t>
      </w:r>
      <w:r>
        <w:rPr>
          <w:rFonts w:hint="eastAsia" w:ascii="仿宋" w:hAnsi="仿宋" w:eastAsia="仿宋" w:cs="仿宋"/>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本级司法行政部门备案。</w:t>
      </w:r>
    </w:p>
    <w:p>
      <w:pPr>
        <w:ind w:firstLine="640" w:firstLineChars="200"/>
        <w:rPr>
          <w:rFonts w:hint="eastAsia" w:ascii="仿宋" w:hAnsi="仿宋" w:eastAsia="仿宋" w:cs="仿宋"/>
          <w:sz w:val="32"/>
          <w:szCs w:val="32"/>
        </w:rPr>
      </w:pPr>
      <w:r>
        <w:rPr>
          <w:rFonts w:hint="eastAsia" w:ascii="楷体_GB2312" w:hAnsi="仿宋" w:eastAsia="楷体_GB2312" w:cs="仿宋"/>
          <w:sz w:val="32"/>
          <w:szCs w:val="32"/>
        </w:rPr>
        <w:t>（四）加强督察激励。</w:t>
      </w:r>
      <w:r>
        <w:rPr>
          <w:rFonts w:hint="eastAsia" w:ascii="仿宋" w:hAnsi="仿宋" w:eastAsia="仿宋" w:cs="仿宋"/>
          <w:sz w:val="32"/>
          <w:szCs w:val="32"/>
        </w:rPr>
        <w:t>要将推进情况列为年度法治政府建设督察内容。建立健全改革容错机制，属于合理容错情形的，对相关单位及人员依纪依法免除相关责任或者减轻、从轻处理。</w:t>
      </w:r>
      <w:r>
        <w:rPr>
          <w:rFonts w:hint="eastAsia" w:ascii="仿宋" w:hAnsi="仿宋" w:eastAsia="仿宋" w:cs="仿宋"/>
          <w:sz w:val="32"/>
          <w:szCs w:val="32"/>
          <w:lang w:val="en-US" w:eastAsia="zh-CN"/>
        </w:rPr>
        <w:t>区</w:t>
      </w:r>
      <w:r>
        <w:rPr>
          <w:rFonts w:hint="eastAsia" w:ascii="仿宋" w:hAnsi="仿宋" w:eastAsia="仿宋" w:cs="仿宋"/>
          <w:sz w:val="32"/>
          <w:szCs w:val="32"/>
        </w:rPr>
        <w:t>政府对工作中表现突出、企业和群众评价满意度高的单位及人员，要按照有关规定予以表彰和奖励。</w:t>
      </w:r>
    </w:p>
    <w:p>
      <w:pPr>
        <w:rPr>
          <w:rFonts w:ascii="仿宋" w:hAnsi="仿宋" w:eastAsia="仿宋" w:cs="仿宋"/>
          <w:sz w:val="32"/>
          <w:szCs w:val="32"/>
        </w:rPr>
      </w:pPr>
      <w:bookmarkStart w:id="0" w:name="_GoBack"/>
      <w:bookmarkEnd w:id="0"/>
    </w:p>
    <w:p>
      <w:pPr>
        <w:ind w:firstLine="320" w:firstLineChars="100"/>
        <w:rPr>
          <w:rFonts w:ascii="仿宋" w:hAnsi="仿宋" w:eastAsia="仿宋" w:cs="仿宋"/>
          <w:sz w:val="32"/>
          <w:szCs w:val="32"/>
        </w:rPr>
      </w:pPr>
    </w:p>
    <w:p>
      <w:pPr>
        <w:pStyle w:val="4"/>
      </w:pPr>
    </w:p>
    <w:p>
      <w:pPr>
        <w:spacing w:line="600" w:lineRule="exact"/>
        <w:rPr>
          <w:rFonts w:ascii="仿宋_GB2312" w:hAnsi="仿宋" w:eastAsia="仿宋_GB2312"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8368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8C3"/>
    <w:rsid w:val="00047F05"/>
    <w:rsid w:val="000C069E"/>
    <w:rsid w:val="001B2A62"/>
    <w:rsid w:val="003B58C3"/>
    <w:rsid w:val="0042324B"/>
    <w:rsid w:val="004317C7"/>
    <w:rsid w:val="0046509C"/>
    <w:rsid w:val="00713355"/>
    <w:rsid w:val="00797C82"/>
    <w:rsid w:val="00941E14"/>
    <w:rsid w:val="009A5446"/>
    <w:rsid w:val="00C20FFF"/>
    <w:rsid w:val="00DA7D6E"/>
    <w:rsid w:val="00E17914"/>
    <w:rsid w:val="04BC7402"/>
    <w:rsid w:val="08693EE6"/>
    <w:rsid w:val="138B0070"/>
    <w:rsid w:val="154D5A3D"/>
    <w:rsid w:val="16CA4601"/>
    <w:rsid w:val="17D07BB8"/>
    <w:rsid w:val="1D9B2DB7"/>
    <w:rsid w:val="200B20DD"/>
    <w:rsid w:val="203F09F9"/>
    <w:rsid w:val="23504EDE"/>
    <w:rsid w:val="23ED32A2"/>
    <w:rsid w:val="25B95EFF"/>
    <w:rsid w:val="276F0E0A"/>
    <w:rsid w:val="2F473307"/>
    <w:rsid w:val="2F8C1FF2"/>
    <w:rsid w:val="33A53715"/>
    <w:rsid w:val="3BAB0F61"/>
    <w:rsid w:val="43DC4E79"/>
    <w:rsid w:val="4D3D3241"/>
    <w:rsid w:val="4EA6076B"/>
    <w:rsid w:val="4FEC46B7"/>
    <w:rsid w:val="502C52F4"/>
    <w:rsid w:val="51154B78"/>
    <w:rsid w:val="546D352B"/>
    <w:rsid w:val="5D2C4080"/>
    <w:rsid w:val="60053BA4"/>
    <w:rsid w:val="616C3A03"/>
    <w:rsid w:val="636C3C37"/>
    <w:rsid w:val="65333FAD"/>
    <w:rsid w:val="65FF1372"/>
    <w:rsid w:val="6FDB70F2"/>
    <w:rsid w:val="71061735"/>
    <w:rsid w:val="746D5491"/>
    <w:rsid w:val="76523006"/>
    <w:rsid w:val="774D3CD6"/>
    <w:rsid w:val="78C62D08"/>
    <w:rsid w:val="7AF0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3"/>
    <w:semiHidden/>
    <w:qFormat/>
    <w:uiPriority w:val="99"/>
    <w:rPr>
      <w:sz w:val="18"/>
      <w:szCs w:val="18"/>
    </w:rPr>
  </w:style>
  <w:style w:type="character" w:customStyle="1" w:styleId="11">
    <w:name w:val="页脚 Char"/>
    <w:basedOn w:val="8"/>
    <w:link w:val="2"/>
    <w:qFormat/>
    <w:uiPriority w:val="99"/>
    <w:rPr>
      <w:sz w:val="18"/>
      <w:szCs w:val="18"/>
    </w:rPr>
  </w:style>
  <w:style w:type="character" w:customStyle="1" w:styleId="12">
    <w:name w:val="副标题 Char"/>
    <w:basedOn w:val="8"/>
    <w:link w:val="4"/>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2332</Characters>
  <Lines>19</Lines>
  <Paragraphs>5</Paragraphs>
  <TotalTime>10</TotalTime>
  <ScaleCrop>false</ScaleCrop>
  <LinksUpToDate>false</LinksUpToDate>
  <CharactersWithSpaces>2735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2021-01-13T03:16:00Z</dcterms:created>
  <dc:creator>Windows 用户</dc:creator>
  <cp:lastModifiedBy>夏目</cp:lastModifiedBy>
  <cp:lastPrinted>2021-02-22T06:52:00Z</cp:lastPrinted>
  <dcterms:modified xsi:type="dcterms:W3CDTF">2021-03-19T03:04:13Z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6403B7F9273A47388FFCFEA88D8FBCF6</vt:lpwstr>
  </property>
</Properties>
</file>