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90"/>
          <w:sz w:val="44"/>
          <w:szCs w:val="44"/>
        </w:rPr>
        <w:t>2020年市中区国民经济和社会发展统计公报</w:t>
      </w:r>
    </w:p>
    <w:p>
      <w:pPr>
        <w:spacing w:beforeLines="100" w:afterLines="100" w:line="600" w:lineRule="exact"/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市中区统计局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2020年，面对新冠肺炎疫情的严重冲击以及国内外严峻复杂的宏观经济形势，全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上下在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政府的坚强领导下，坚持以习近平新时代中国特色社会主义思想为指导，全面贯彻党的十九大和十九届二中、三中、四中、五中全会精神，统筹推进疫情防控和经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济社会发展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牢固树立“大抓工业、抓大产业”导向，实施“工业强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、产业兴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”攻坚突破，统筹做好稳增长、促改革、调结构、惠民生、防风险、保稳定各项工作，全区经济运行稳定恢复、好于预期，为全面建成小康社会奠定了坚实基础，奋力开创新时代现代化强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建设新局面。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一、综合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经济运行好于预期。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市统计局统一核算，2020年全区生产总值(GDP)实现264.07亿元，按可比价格计算，比上年增长5.2%。分产业看，第一产业增加值10.47亿元，增长2.7%;第二产业增加值90.55亿元，增长4.5%;第三产业增加值163.05亿元，增长5.9%。三次产业结构由上年的3.9:35.4:60.7优化调整为4.0:34.3:61.7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物价保持在合理区间。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居民消费价格比上年上涨2.2%。其中,消费品价格上涨4.8%，服务价格下降1.7%。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表1：2020年居民消费价格指数（上年同期=100）</w:t>
      </w:r>
    </w:p>
    <w:tbl>
      <w:tblPr>
        <w:tblStyle w:val="8"/>
        <w:tblW w:w="61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2552"/>
      </w:tblGrid>
      <w:tr>
        <w:trPr>
          <w:trHeight w:val="312" w:hRule="exact"/>
          <w:jc w:val="center"/>
        </w:trPr>
        <w:tc>
          <w:tcPr>
            <w:tcW w:w="3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8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sz w:val="30"/>
                <w:szCs w:val="30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sz w:val="30"/>
                <w:szCs w:val="30"/>
              </w:rPr>
              <w:t>标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30"/>
                <w:szCs w:val="30"/>
              </w:rPr>
              <w:t>居民消费价格总指数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食品烟酒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衣着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居住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95.6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生活用品及服务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交通和通信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97.9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教育文化和娱乐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医疗保健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其他用品和服务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104.5</w:t>
            </w:r>
          </w:p>
        </w:tc>
      </w:tr>
    </w:tbl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重点战略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动能转换初见成效。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传统产业优化升级，工业技改投资增长20.1%。新动能培育壮大，“四新”经济增加值占比达到29.8%，“四新”投资占比为36.5%。新增高新技术企业4家，总数达到28家。规模以上高新技术产业产值占规模以上工业总产值比重为37.1%。坚持工业强区战略，四大主导产业主营业务收入达到50.3亿元。市级以上农业龙头企业、农民专业合作社和家庭农场发展到53家、69家、17家。</w:t>
      </w:r>
    </w:p>
    <w:p>
      <w:pPr>
        <w:pStyle w:val="7"/>
        <w:widowControl/>
        <w:spacing w:beforeAutospacing="0" w:afterAutospacing="0" w:line="420" w:lineRule="atLeast"/>
        <w:ind w:firstLine="643" w:firstLineChars="200"/>
        <w:jc w:val="both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改革开放深度拓展。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实行经营性国有资产统一监管，新组建中汇集团、财汇集团。各类金融机构发展到68家，成为全市唯一省级县域普惠金融综合示范区。51家企业完成股改，成为全市唯一拥有2家A股上市公司的区（市）。累计引进外来投资项目186个，开工建设亿元以上项目112个，一批大项目竣工投产。</w:t>
      </w:r>
    </w:p>
    <w:p>
      <w:pPr>
        <w:pStyle w:val="7"/>
        <w:widowControl/>
        <w:spacing w:beforeAutospacing="0" w:afterAutospacing="0" w:line="420" w:lineRule="atLeast"/>
        <w:ind w:firstLine="643" w:firstLineChars="200"/>
        <w:jc w:val="both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三大攻坚成效显著。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积极稳妥化解辖区银行业金融机构不良贷款，政府债务率稳定在合理水平。累计使用扶贫资金5675万元，实施产业扶贫项目64个，2个市定扶贫重点村摘帽退出，建档立卡贫困人口全部稳定脱贫。全面落实“河长制”，建成人工湿地7处，出境断面水质稳定达标。环境空气质量优良天数比“十二五”末增加56天。</w:t>
      </w:r>
    </w:p>
    <w:p>
      <w:pPr>
        <w:pStyle w:val="7"/>
        <w:widowControl/>
        <w:spacing w:beforeAutospacing="0" w:afterAutospacing="0" w:line="420" w:lineRule="atLeast"/>
        <w:ind w:firstLine="643" w:firstLineChars="200"/>
        <w:jc w:val="both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大力实施城市西进战略。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济枣高铁枣庄南站落户我区，老城进入“高铁时代”,山东济枣高速铁路有限公司总部完成注册，实现总部经济新突破。扎实推进乡村振兴战略，美丽乡村创建率达100%。建设农村道路315公里，成功创建全省村级公路网化示范县和“四好农村路”示范区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三、农业</w:t>
      </w:r>
    </w:p>
    <w:p>
      <w:pPr>
        <w:pStyle w:val="7"/>
        <w:widowControl/>
        <w:spacing w:beforeAutospacing="0" w:afterAutospacing="0" w:line="420" w:lineRule="atLeast"/>
        <w:ind w:firstLine="643" w:firstLineChars="200"/>
        <w:jc w:val="both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农业生产稳中有增。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实现农林牧渔业增加值11.44亿元，增长2.8%，其中农林牧渔服务业增加值增长3.6%。</w:t>
      </w:r>
    </w:p>
    <w:p>
      <w:pPr>
        <w:pStyle w:val="7"/>
        <w:widowControl/>
        <w:spacing w:beforeAutospacing="0" w:afterAutospacing="0" w:line="420" w:lineRule="atLeast"/>
        <w:ind w:firstLine="643" w:firstLineChars="200"/>
        <w:jc w:val="both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农产品产量基本稳定。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粮食作物种植面积21.31万亩，粮食总产7.64万吨，单产358.6公斤/亩。蔬菜种植面积4.54万亩，增长1.1%；产量15.47万吨，增长1.6%。油料种植面积4.28万亩，增长0.9%；产量1.04万吨，增长4.5%。年末果园面积1.64万亩，与去年持平；水果1.50万吨，增长4.9%。</w:t>
      </w:r>
    </w:p>
    <w:p>
      <w:pPr>
        <w:spacing w:line="600" w:lineRule="exact"/>
        <w:ind w:firstLine="643" w:firstLineChars="20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表2：主要农产品产量</w:t>
      </w:r>
    </w:p>
    <w:tbl>
      <w:tblPr>
        <w:tblStyle w:val="8"/>
        <w:tblW w:w="8731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2031"/>
        <w:gridCol w:w="2183"/>
        <w:gridCol w:w="218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334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2" w:firstLineChars="20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  <w:t>产品</w:t>
            </w:r>
          </w:p>
        </w:tc>
        <w:tc>
          <w:tcPr>
            <w:tcW w:w="203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2" w:firstLineChars="20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  <w:t>单位</w:t>
            </w:r>
          </w:p>
        </w:tc>
        <w:tc>
          <w:tcPr>
            <w:tcW w:w="218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2" w:firstLineChars="200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  <w:t>产量</w:t>
            </w:r>
          </w:p>
        </w:tc>
        <w:tc>
          <w:tcPr>
            <w:tcW w:w="218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2" w:firstLineChars="20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2"/>
                <w:sz w:val="30"/>
                <w:szCs w:val="30"/>
              </w:rPr>
              <w:t>增速(%)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粮食</w:t>
            </w:r>
          </w:p>
        </w:tc>
        <w:tc>
          <w:tcPr>
            <w:tcW w:w="2031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7.64</w:t>
            </w:r>
          </w:p>
        </w:tc>
        <w:tc>
          <w:tcPr>
            <w:tcW w:w="2183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油料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1.04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4.5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蔬菜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15.47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水果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1.50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猪年末存栏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万头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7.56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25.0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羊年末存栏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万只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4.40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112.6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肉类总产量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1.40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-18.1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禽蛋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0.92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-17.1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奶类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0.32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113.3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水产品</w:t>
            </w:r>
          </w:p>
        </w:tc>
        <w:tc>
          <w:tcPr>
            <w:tcW w:w="20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万吨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0.33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420" w:lineRule="atLeast"/>
              <w:ind w:firstLine="600" w:firstLineChars="20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0"/>
                <w:szCs w:val="30"/>
              </w:rPr>
              <w:t>4.8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农业生产条件不断改善。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农机装备总量提升、结构优化，农业机械总动力达26.44万千瓦，增长5.1%。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color w:val="auto"/>
          <w:kern w:val="2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林牧渔业平稳发展。</w:t>
      </w:r>
      <w:r>
        <w:rPr>
          <w:rFonts w:hint="default" w:ascii="Times New Roman" w:hAnsi="Times New Roman" w:cs="Times New Roman"/>
          <w:color w:val="auto"/>
          <w:kern w:val="2"/>
          <w:sz w:val="32"/>
        </w:rPr>
        <w:t>造林面积完成122公顷，林木蓄积量达到0.24万立方米，新育苗面积32公顷。全年肉类、禽蛋、奶类产量分别达到1.4万吨、0.93万吨、0.32万吨。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四、工业和建筑业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工业运行平稳。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规模以上工业增加值增长13%。其中，轻工业增长29.3%，重工业增长7.7%，轻工业快于重工业21.6个百分点。规模以上工业产品销售率为100.9%。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重点行业较快增长。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统的26个行业大类中，18个行业实现增加值增长，行业增长面达69.2%。非金属矿物制品业、医药制造业、化学原料和化学制品制造业、非金属矿采选业、电器机械及器材制造业增加值分别增长8.6%、132.8%、15.2%、3.8%、24.6%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主要产品生产稳定。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在统的28种重点产品中，19种产品产量实现增长。其中，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、商品混凝土、烧碱、高低压开关设备等主要产品产量比上年分别增长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%、13.2%、73.8%。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表3：主要工业产品产量</w:t>
      </w:r>
    </w:p>
    <w:tbl>
      <w:tblPr>
        <w:tblStyle w:val="8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1"/>
        <w:gridCol w:w="1650"/>
        <w:gridCol w:w="1617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3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ind w:firstLine="723" w:firstLineChars="300"/>
              <w:rPr>
                <w:rFonts w:hint="default"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产量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比上年增长%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电子元件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万只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191.82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-77.9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布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万米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203.10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-40.9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铸钢件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273.00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铝材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1130.00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-21.1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小麦粉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3055.00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-21.0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气动元件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件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16319.00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-18.4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服装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万件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12130.33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-12.3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纸制品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41788.00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水泥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745.75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-0.3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纱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13555.00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自来水生产量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万立方米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2072.00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商品混凝土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万立方米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99.68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工业自动调节仪表与控制系统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台（套）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112.00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铁矿石原矿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56.91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烧碱（折100％）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11.51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硅酸盐水泥熟料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405.81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化学试剂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7772.00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摩托车充气橡胶轮胎外胎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万条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135.96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3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焙烤松脆食品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吨</w:t>
            </w: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4122.00</w:t>
            </w:r>
          </w:p>
        </w:tc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22.2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建筑业发展平稳。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建筑业企业完成总产值94.7亿元，增长12.7%，本年新签建筑业合同额93亿元，增长2.1%。施工面积479万平方米，增长123.7%。实现房屋建筑竣工面积116万平方米，下降3.6%。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五、服务业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服务业新动能增速较快。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服务业实现增加值163.05亿元，按可比价格计算，比上年增长5.9%，增幅高于GDP增幅0.7个百分点。服务业占全区GDP比重为61.7%，比上年提高1个百分点。规模以上服务业营业收入增长3.9%。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文旅事业融合发展。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文化“三下乡”、端午节主题活动、庆七一书画名家交流笔会、迎国庆奔小康书画摄影展等。承办市群艺节庄户剧团展演、2020年第四届“鲁风运河”美食节暨枣庄第四届辣子鸡美食文化节、2020“冬游齐鲁·福乐枣庄惠民季”启动仪式暨市中区冬游产品发布会等，其中辣子鸡美食文化节直播观看人数突破70万人次。组织戏曲进基层活动，送戏下乡169场；放映农村公益电影1255场。推进广电扶贫，落实户户通，922户建档立卡贫困户全部安装完毕。整改提升旅游厕所，5座A级旅游厕所通过省复核验收，改建新建旅游厕所11座。全区共招引文旅项目8个，投资超过28.77亿元，已到位资金4.02亿元。出动执法人员2052人次，检查文旅企业768家次，处罚违规经营单位10家，荣获全省艺术考级业务管理与“互联网+监管”工作先进单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旅游复苏有效。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接待国内外游客258.8万人次，实现旅游总收入11.7亿元，分别恢复至上年水平的61%和38.9%。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交通设施建设加快。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共有市、区交通重点项目12个，其中6个纳入区级重点项目，项目总投资29.68亿元,年度完成投资5.79亿元。年末全区公路总里程757.038公里，公路密度201.7公里/百平方公里，其中国道19.255公里，省道96.301公里，县道53.306公里，乡镇公路116.156公里，村级公路471.353公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邮政通讯业快速发展。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邮政行业业务收入0.75亿元，比上年增长27.1%。其中快递业务收入0.12亿元，是去年的6.3倍。电信业务总量0.21亿元，下降41.7%。移动电话业务总量2.11亿元，固定电话用户15.20万户，移动电话用户41万户。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6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六、固定资产投资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投资结构持续优化，总体平稳增长。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固定资产投资增长2.2%。三次产业投资构成为0.3:30:69.7。“四新”经济投资占比达到36.5%。淮海数字智谷、海斯凯尔新一代肝纤维化诊断系统规模化生产基地项目、金顺怡智能制造产业园项目、骏盛快速病例系列产品研发与生产项目、中建材科创新技术研究院建设项目等一大批高端项目落地市中。重点领域中，工业技改投资增长20.1%；民间投资增长22.5%，占比达68.1%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房地产市场商品住宅产销两旺。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房地产开发投资46.95亿元、增长39.8%。房屋施工面积405.26万平方米、下降5.5%；房屋竣工面积75.19万平方米，下降32.6%。实现商品房销售面积111.61万平方米、增长65.3%；商品房销售额完成77.55亿元、增长103.7%。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6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七、消费市场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消费品市场稳步复苏。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社会消费品零售总额120.24亿元，比上年下降4.8%。城镇实现社会消费品零售总额87.65亿元，下降4.7%；乡村实现社会消费品零售总额32.59亿元，下降5.1%，城镇消费品市场回暖步伐快于乡村市场。实现餐饮收入15.63亿元，下降2.1%；商品零售额104.61亿元，下降5.5%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消费结构不断优化。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公共网络实现的商品零售额增长228.4%。汽车类零售额增长39.1%，其中新能源汽车零售额增长10.4%。受新冠肺炎疫情防控常态化影响，中西医药品类零售全年保持较快增长。限额以上中西医药品类零售额1.4亿元，增长23.5%，占限额以上单位零售额的4.2%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八、开放型经济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货物进出口快速增长。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货物进出口总额实现46.52亿元，比上年增长68.5%。其中，出口总额45.62亿元，增长67%；进口总额0.9亿元，增长220.7%。发放政策汇编600余册。先后为企业发放中央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外贸发展专项资金88.18万元，为58家外贸、外资企业发放奖励资金444.35万元。搭建银企平台，联合各类金融机构为企业贷款、授信额度1亿元人民币。大力引导外贸企业投保出口信用保险，联系中国信保为17家外部署业免费投保。培育外贸新业态，先后引进北方电商基地等跨境电商项目。依托枣庄二手车市场，成功创建二手车出口试点城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对外投资较快增长。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全区引进外资4385万美元，增长212.5%。成功举办重点外资项目“云签约”活动，签约外资项目5个，合同利用外资1.63亿美元。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九、财税金融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财政收支保持平稳。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现财政一般公共预算收入23.1亿元，增长2.0%，增幅较去年同期提高0.2个百分点；财政收入中税收占比81.2%，较同期回落5.5个百分点。完成一般公共预算支出31.3亿元，下降2.6%，降速较去年同期收窄8.6个百分点；其中民生支出23.12亿元，占公共预算支出的73.9%，较上年提高1.4个百分点，其中住房保障、交通运输、社会保障和就业、教育等分别增长9.8%、7.4%、5.8%、6.8%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税收收入减少。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共组织各项收入34.57亿元，下降2.3%，减收0.82亿元。其中，税收收入完成33.51亿元，下降2.6%；非税收入完成1.06亿元，增长5.6%。精准落实退税政策，优化退税服务流程，加快退税办理进度，帮助企业渡过难关。年内共办理出口退税3.27亿元。对法律救济渠道、企业所得税征收方式核定结果等16类事项共906条信息进行了公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信贷规模持续扩大。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末金融机构本外币存款余额526.6亿元，增长10.2%，总量比年初增加48.8亿元。其中，住户存款368.2亿元，比年初增加43.2亿元；金融机构本外币贷款余额393.4亿元，增长8.2%，总量比年初增加29.7亿元。较好满足了居民购房、购车等消费需求，促进了居民消费层次的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十、民生保障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居民生活改善。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居民人均可支配收入32058元，比上年增长3.8%；其中，城镇居民人均可支配收入35668元，增长3.5%；农村居民人均可支配收入18475元，增长5.6%。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城市设施不断提升。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建改建道路26条，城区主路网日益完善，实施了13条城市道路新改建工程，谷山路、科创路、人民西路等9条道路建成通车，新区路网不断完善。改善民生，棚户区改造多点开花。建材市场片区项目征收工作已基本完成；田庄、阳光花园项目已办理立项手续，规划方案设计初步完成，机关企事业单位摸底全面启动，区粮食局、军供粮站、老年大学已签订征收补偿协议；市中新区医院、文化西路西延征收工作已启动，正在进行征收；新区医院建设征收涉及的成东武校、红石岭度假村征收正在协商，阳光花园、亚细亚棚改项目正按法定程序完善手续，适时启动征收。希望社区、东湖春天、前岭改造项目、金泰电子职工宿舍等回迁安置项目建设快速推进。惠民生，老旧小区改造超额完成。投资1.89亿元，高质量完成了102个老旧小区改造，共953栋楼、198.89万平方米，惠及群众20789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养老保险工作平稳运行。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全区参加基本养老保险居民11.9万人，为66514名离退休人员发放养老保险金。机关在职参保人数9736人，征收基金1.65亿元。为全区5061名退休人员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养老金发放工作，发放养老金3.15亿元。全区共有企业参保单位4300家，参保缴费人数52322余人。累计征缴养老保险金3.89亿元，完成全年预算任务3.5亿元的111.14%。共有企业离退休人员1.25万名，累计发放离退休费3.9亿元。灵活就业人员0.73万人。失业保险参保人数25919人，企业失业保险基金征缴1356万元。征缴工伤保险基金336万元，全年支出工伤保险待遇655万元。城市最低生活保障人数3001人，月人均保障标准582元。农村最低生活保障人数4384人，月人均保障标准340元。养老机构13处，养老机构床位2405张，建有城市老年人日间照料中心22处、农村幸福院26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安全生产事故下降。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安全生产事故下降。全年发生生产安全事故6起、死亡4人，分别下降33.3%、55.5%。在发生事故的行业（领域）中，交通运输业事故4起、死亡4人；采矿业未发生事故；建筑业事故1起；其他事故1起。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十一、社会事业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教育事业发展良好。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普通中等职业学校招生101人，毕业46人，在校生561人。普通高中招生2301人，毕业1982人，在校生5624人。普通初中招生11187人，毕业5917人，在校生27010人。小学招生8619人，毕业12137人，在校生56510人。幼儿园在园儿童13136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卫生服务能力提升。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2020年卫生机构数 351 个，其中区级综合医院 1 个、卫生院5个、社区卫生服务中心6个、妇幼保健机构1个、村卫生室116个、社区卫生服务站19个；卫生技术人员1662人，其中执业医师 563人、执业助理医师103人、注册护士784人、妇幼卫生机构人员 266人；卫生机构床位数1950张，其中综合医院床位数600张、卫生院床位数257张、妇幼保健机构床位数120张。乡镇卫生院机构数5个、床位数257张、人员数556 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体育事业全面发展。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承办市级赛事活动1项，举办区级大型全民健身运动会单项比赛 12 项次。对枣庄全民健身中心（东湖公园）公共体育设施提档升级，投资新建东湖公园北侧三处五人制围网灯光足球场，两处人工草坪门球场。更换市中区全民健身中心（市南工业园）足球场草皮，更换安装体育健身器材242件。截至2020年底全区行政村体育健身工程建设覆盖率已达100%。2020年共获得省级赛事冠军 2个，亚军 7 个，季军 8个。体育彩票全年累计销量1.4亿元，在售网点88家。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注：1．本公报中数据均为初步统计数，部分数据因四舍五入影响，存在总计与分项合计不等情况。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2．全区生产总值、各产业增加值按现价计算，增长速度按可比价格计算。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3.2020年开展第七次全国人口普查，人口相关数据将通过《市中区2020年第七次全国人口普查主要数据公报》进行公布。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4．规模以上工业企业指年主营业务收入2000万元及以上的工业法人企业。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．规模以上服务业统计范围包括：年营业收入2000万元及以上的交通运输、仓储和邮政业，信息传输、软件和信息技术服务业，水利、环境和公共设施管理业，卫生行业法人单位；年营业收入1000万元及以上的房地产业（不含房地产开发经营），租赁和商务服务业，科学研究和技术服务业，教育行业法人单位；以及年营业收入500万元及以上的居民服务、修理和其他服务业，文化、体育和娱乐业，社会工作行业法人单位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6．固定资产投资包括城镇和农村各种登记注册类型的企业、事业、行政单位以及城镇个体户计划总投资500万元及以上的建设项目投资，有开发经营活动的全部房地产开发经营业法人单位开发项目投资。</w:t>
      </w:r>
    </w:p>
    <w:p>
      <w:pPr>
        <w:widowControl/>
        <w:shd w:val="clear" w:color="auto" w:fill="FFFFFF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．限额以上批发业企业指年主营业务收入2000万元及以上的批发业企业，限额以上零售业企业指年主营业务收入500万元及以上的零售业企业，限额以上住宿和餐饮业企业指年主营业务收入200万元及以上的住宿和餐饮业企业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9C285F-EF29-4723-ADAA-2B6310A954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3D6C292-CBAA-43D5-A375-FC2CEB0A999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6B584D-D390-4EAD-98B0-6258D403D83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9FD276E-E1EF-4213-B88F-14AA665E1C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B9517"/>
    <w:multiLevelType w:val="singleLevel"/>
    <w:tmpl w:val="B12B95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3E1D"/>
    <w:rsid w:val="00001712"/>
    <w:rsid w:val="0000563F"/>
    <w:rsid w:val="00014659"/>
    <w:rsid w:val="000213C1"/>
    <w:rsid w:val="00022689"/>
    <w:rsid w:val="000337D6"/>
    <w:rsid w:val="000356A9"/>
    <w:rsid w:val="00042274"/>
    <w:rsid w:val="000444AB"/>
    <w:rsid w:val="000467AA"/>
    <w:rsid w:val="000473F8"/>
    <w:rsid w:val="0005027B"/>
    <w:rsid w:val="00055AE0"/>
    <w:rsid w:val="00077575"/>
    <w:rsid w:val="00084115"/>
    <w:rsid w:val="000923E7"/>
    <w:rsid w:val="000A2D25"/>
    <w:rsid w:val="000A2E53"/>
    <w:rsid w:val="000A5980"/>
    <w:rsid w:val="000B46E6"/>
    <w:rsid w:val="000B478F"/>
    <w:rsid w:val="000C04F1"/>
    <w:rsid w:val="000C0FBD"/>
    <w:rsid w:val="000D01A3"/>
    <w:rsid w:val="0010082C"/>
    <w:rsid w:val="00102B35"/>
    <w:rsid w:val="00107687"/>
    <w:rsid w:val="00113E21"/>
    <w:rsid w:val="0011640D"/>
    <w:rsid w:val="001626A6"/>
    <w:rsid w:val="00180ECA"/>
    <w:rsid w:val="00183515"/>
    <w:rsid w:val="00193526"/>
    <w:rsid w:val="0019677E"/>
    <w:rsid w:val="001A3E1D"/>
    <w:rsid w:val="001B1BA1"/>
    <w:rsid w:val="001B57AF"/>
    <w:rsid w:val="001D0F4A"/>
    <w:rsid w:val="001D26AE"/>
    <w:rsid w:val="001D5D4C"/>
    <w:rsid w:val="001E3953"/>
    <w:rsid w:val="001F0673"/>
    <w:rsid w:val="001F25A3"/>
    <w:rsid w:val="002128EE"/>
    <w:rsid w:val="00213C62"/>
    <w:rsid w:val="00230C56"/>
    <w:rsid w:val="00234B46"/>
    <w:rsid w:val="00252D1B"/>
    <w:rsid w:val="002745C2"/>
    <w:rsid w:val="00283251"/>
    <w:rsid w:val="002945C0"/>
    <w:rsid w:val="002A0483"/>
    <w:rsid w:val="002D0D64"/>
    <w:rsid w:val="002D149A"/>
    <w:rsid w:val="002D746E"/>
    <w:rsid w:val="002E4C88"/>
    <w:rsid w:val="002E6ED0"/>
    <w:rsid w:val="00300429"/>
    <w:rsid w:val="003177E8"/>
    <w:rsid w:val="00323F16"/>
    <w:rsid w:val="00340F59"/>
    <w:rsid w:val="00346D28"/>
    <w:rsid w:val="00350DB8"/>
    <w:rsid w:val="003512AC"/>
    <w:rsid w:val="00364F3A"/>
    <w:rsid w:val="00375975"/>
    <w:rsid w:val="003834C0"/>
    <w:rsid w:val="00387A03"/>
    <w:rsid w:val="003A63AA"/>
    <w:rsid w:val="003A7A21"/>
    <w:rsid w:val="003C1C9B"/>
    <w:rsid w:val="003C262B"/>
    <w:rsid w:val="003D5363"/>
    <w:rsid w:val="003D7097"/>
    <w:rsid w:val="003F07F1"/>
    <w:rsid w:val="004000CD"/>
    <w:rsid w:val="00400F04"/>
    <w:rsid w:val="0040159C"/>
    <w:rsid w:val="00401EE9"/>
    <w:rsid w:val="00416A38"/>
    <w:rsid w:val="00425063"/>
    <w:rsid w:val="00453B02"/>
    <w:rsid w:val="0046668B"/>
    <w:rsid w:val="004712CA"/>
    <w:rsid w:val="004A244D"/>
    <w:rsid w:val="004B3A33"/>
    <w:rsid w:val="004B4324"/>
    <w:rsid w:val="004B7E00"/>
    <w:rsid w:val="004D4AC5"/>
    <w:rsid w:val="004D4DB1"/>
    <w:rsid w:val="004D70EF"/>
    <w:rsid w:val="004F59E5"/>
    <w:rsid w:val="005027C5"/>
    <w:rsid w:val="00503D08"/>
    <w:rsid w:val="00506EFA"/>
    <w:rsid w:val="00527401"/>
    <w:rsid w:val="0054473B"/>
    <w:rsid w:val="005509C5"/>
    <w:rsid w:val="00551361"/>
    <w:rsid w:val="00564E3E"/>
    <w:rsid w:val="0056566A"/>
    <w:rsid w:val="00577EE6"/>
    <w:rsid w:val="00594B54"/>
    <w:rsid w:val="005968DF"/>
    <w:rsid w:val="005A5507"/>
    <w:rsid w:val="005E19D3"/>
    <w:rsid w:val="005E5142"/>
    <w:rsid w:val="005E5490"/>
    <w:rsid w:val="005F1EA3"/>
    <w:rsid w:val="005F21CC"/>
    <w:rsid w:val="005F7135"/>
    <w:rsid w:val="00600463"/>
    <w:rsid w:val="0061176E"/>
    <w:rsid w:val="00613895"/>
    <w:rsid w:val="00663473"/>
    <w:rsid w:val="00665F7E"/>
    <w:rsid w:val="0068227E"/>
    <w:rsid w:val="00685239"/>
    <w:rsid w:val="00685921"/>
    <w:rsid w:val="006A17DC"/>
    <w:rsid w:val="006B3F6F"/>
    <w:rsid w:val="006B7CDC"/>
    <w:rsid w:val="006C1B8E"/>
    <w:rsid w:val="006C38A0"/>
    <w:rsid w:val="006C4F96"/>
    <w:rsid w:val="006C5136"/>
    <w:rsid w:val="006E40A1"/>
    <w:rsid w:val="006F0D17"/>
    <w:rsid w:val="006F522E"/>
    <w:rsid w:val="00704D09"/>
    <w:rsid w:val="00705AB7"/>
    <w:rsid w:val="00715E1F"/>
    <w:rsid w:val="00747D42"/>
    <w:rsid w:val="00757824"/>
    <w:rsid w:val="00760034"/>
    <w:rsid w:val="00763BB7"/>
    <w:rsid w:val="0078777D"/>
    <w:rsid w:val="00791570"/>
    <w:rsid w:val="007A3FFF"/>
    <w:rsid w:val="007A5472"/>
    <w:rsid w:val="007A7F30"/>
    <w:rsid w:val="007A7FC0"/>
    <w:rsid w:val="007B26C8"/>
    <w:rsid w:val="007B6ACE"/>
    <w:rsid w:val="007D0F89"/>
    <w:rsid w:val="007D2E27"/>
    <w:rsid w:val="007E7A60"/>
    <w:rsid w:val="007F1373"/>
    <w:rsid w:val="007F5CAC"/>
    <w:rsid w:val="00801A74"/>
    <w:rsid w:val="008033FD"/>
    <w:rsid w:val="00815FE4"/>
    <w:rsid w:val="00833769"/>
    <w:rsid w:val="008349DD"/>
    <w:rsid w:val="00845554"/>
    <w:rsid w:val="00863A8F"/>
    <w:rsid w:val="00880A3B"/>
    <w:rsid w:val="00882270"/>
    <w:rsid w:val="0089267C"/>
    <w:rsid w:val="0089314A"/>
    <w:rsid w:val="008A2E60"/>
    <w:rsid w:val="008B59C2"/>
    <w:rsid w:val="008E3BE1"/>
    <w:rsid w:val="008F36A6"/>
    <w:rsid w:val="009028E5"/>
    <w:rsid w:val="00902A43"/>
    <w:rsid w:val="00916F48"/>
    <w:rsid w:val="00934275"/>
    <w:rsid w:val="00942707"/>
    <w:rsid w:val="00943C7D"/>
    <w:rsid w:val="009460B5"/>
    <w:rsid w:val="009466F2"/>
    <w:rsid w:val="0094770D"/>
    <w:rsid w:val="00951698"/>
    <w:rsid w:val="00954CB1"/>
    <w:rsid w:val="00965A93"/>
    <w:rsid w:val="009736ED"/>
    <w:rsid w:val="00994503"/>
    <w:rsid w:val="009A4933"/>
    <w:rsid w:val="009B4F37"/>
    <w:rsid w:val="009B6504"/>
    <w:rsid w:val="009C11CC"/>
    <w:rsid w:val="009C6890"/>
    <w:rsid w:val="009C695A"/>
    <w:rsid w:val="009D2963"/>
    <w:rsid w:val="009F5520"/>
    <w:rsid w:val="009F573F"/>
    <w:rsid w:val="009F6D95"/>
    <w:rsid w:val="00A0228D"/>
    <w:rsid w:val="00A30123"/>
    <w:rsid w:val="00A40198"/>
    <w:rsid w:val="00A410EA"/>
    <w:rsid w:val="00A42ED6"/>
    <w:rsid w:val="00A51E7B"/>
    <w:rsid w:val="00A5224B"/>
    <w:rsid w:val="00A52560"/>
    <w:rsid w:val="00A602FC"/>
    <w:rsid w:val="00A62A55"/>
    <w:rsid w:val="00A65587"/>
    <w:rsid w:val="00A70039"/>
    <w:rsid w:val="00A77280"/>
    <w:rsid w:val="00A81A29"/>
    <w:rsid w:val="00A87E3C"/>
    <w:rsid w:val="00A9286F"/>
    <w:rsid w:val="00A953DA"/>
    <w:rsid w:val="00AA696F"/>
    <w:rsid w:val="00AD7DA6"/>
    <w:rsid w:val="00AE6E20"/>
    <w:rsid w:val="00AF2D92"/>
    <w:rsid w:val="00AF5C95"/>
    <w:rsid w:val="00B04291"/>
    <w:rsid w:val="00B05C3E"/>
    <w:rsid w:val="00B06A7E"/>
    <w:rsid w:val="00B07F3B"/>
    <w:rsid w:val="00B17018"/>
    <w:rsid w:val="00B255C9"/>
    <w:rsid w:val="00B361C3"/>
    <w:rsid w:val="00B3728A"/>
    <w:rsid w:val="00B372C3"/>
    <w:rsid w:val="00B376AF"/>
    <w:rsid w:val="00B4673C"/>
    <w:rsid w:val="00B529C4"/>
    <w:rsid w:val="00B77E17"/>
    <w:rsid w:val="00B821BD"/>
    <w:rsid w:val="00B876B1"/>
    <w:rsid w:val="00B93EF6"/>
    <w:rsid w:val="00B94EEB"/>
    <w:rsid w:val="00BD51C8"/>
    <w:rsid w:val="00BE5063"/>
    <w:rsid w:val="00BE5A0E"/>
    <w:rsid w:val="00BF18A2"/>
    <w:rsid w:val="00BF7454"/>
    <w:rsid w:val="00C032C9"/>
    <w:rsid w:val="00C07D46"/>
    <w:rsid w:val="00C1028B"/>
    <w:rsid w:val="00C14F9E"/>
    <w:rsid w:val="00C21425"/>
    <w:rsid w:val="00C2637A"/>
    <w:rsid w:val="00C269C3"/>
    <w:rsid w:val="00C320BA"/>
    <w:rsid w:val="00C36031"/>
    <w:rsid w:val="00C3749A"/>
    <w:rsid w:val="00C522D5"/>
    <w:rsid w:val="00C82A36"/>
    <w:rsid w:val="00C838E5"/>
    <w:rsid w:val="00C91D8D"/>
    <w:rsid w:val="00CA6AFD"/>
    <w:rsid w:val="00CB78EC"/>
    <w:rsid w:val="00CD1FC4"/>
    <w:rsid w:val="00CD5262"/>
    <w:rsid w:val="00CD679A"/>
    <w:rsid w:val="00CE2BE9"/>
    <w:rsid w:val="00CF0AA2"/>
    <w:rsid w:val="00D07E06"/>
    <w:rsid w:val="00D14A0C"/>
    <w:rsid w:val="00D4168A"/>
    <w:rsid w:val="00D4171F"/>
    <w:rsid w:val="00D555CB"/>
    <w:rsid w:val="00D655C8"/>
    <w:rsid w:val="00D70073"/>
    <w:rsid w:val="00D704FE"/>
    <w:rsid w:val="00D868B7"/>
    <w:rsid w:val="00D95FB0"/>
    <w:rsid w:val="00DA3F3C"/>
    <w:rsid w:val="00DA5792"/>
    <w:rsid w:val="00DB0B64"/>
    <w:rsid w:val="00DB3EAA"/>
    <w:rsid w:val="00DB6D9B"/>
    <w:rsid w:val="00DF2168"/>
    <w:rsid w:val="00E01C3B"/>
    <w:rsid w:val="00E14CF1"/>
    <w:rsid w:val="00E21C85"/>
    <w:rsid w:val="00E433D9"/>
    <w:rsid w:val="00E50A60"/>
    <w:rsid w:val="00E50D8D"/>
    <w:rsid w:val="00E62372"/>
    <w:rsid w:val="00E911C7"/>
    <w:rsid w:val="00EA03A3"/>
    <w:rsid w:val="00EA176F"/>
    <w:rsid w:val="00EA673C"/>
    <w:rsid w:val="00ED5F61"/>
    <w:rsid w:val="00ED65DD"/>
    <w:rsid w:val="00ED7FFA"/>
    <w:rsid w:val="00EE7741"/>
    <w:rsid w:val="00EF1959"/>
    <w:rsid w:val="00EF36BF"/>
    <w:rsid w:val="00F02905"/>
    <w:rsid w:val="00F05868"/>
    <w:rsid w:val="00F11873"/>
    <w:rsid w:val="00F14630"/>
    <w:rsid w:val="00F15390"/>
    <w:rsid w:val="00F20D45"/>
    <w:rsid w:val="00F24D80"/>
    <w:rsid w:val="00F43A8C"/>
    <w:rsid w:val="00F539B3"/>
    <w:rsid w:val="00F56983"/>
    <w:rsid w:val="00F5792D"/>
    <w:rsid w:val="00F6133B"/>
    <w:rsid w:val="00F624EE"/>
    <w:rsid w:val="00F65B8A"/>
    <w:rsid w:val="00F66387"/>
    <w:rsid w:val="00F66D82"/>
    <w:rsid w:val="00F729A5"/>
    <w:rsid w:val="00F866BD"/>
    <w:rsid w:val="00F901FB"/>
    <w:rsid w:val="00F94BC8"/>
    <w:rsid w:val="00FA1EC8"/>
    <w:rsid w:val="00FA2733"/>
    <w:rsid w:val="00FA7610"/>
    <w:rsid w:val="00FC4E1E"/>
    <w:rsid w:val="00FD4FCB"/>
    <w:rsid w:val="00FD5A63"/>
    <w:rsid w:val="00FE5DC8"/>
    <w:rsid w:val="00FF42C8"/>
    <w:rsid w:val="00FF49CE"/>
    <w:rsid w:val="015C06E0"/>
    <w:rsid w:val="03FB5D9F"/>
    <w:rsid w:val="052536D2"/>
    <w:rsid w:val="09427C83"/>
    <w:rsid w:val="0B345E7E"/>
    <w:rsid w:val="0BEE54B9"/>
    <w:rsid w:val="0D790089"/>
    <w:rsid w:val="107F3D28"/>
    <w:rsid w:val="10C0195B"/>
    <w:rsid w:val="187D1DE5"/>
    <w:rsid w:val="18EC6641"/>
    <w:rsid w:val="1A304941"/>
    <w:rsid w:val="1F1616D6"/>
    <w:rsid w:val="26576A65"/>
    <w:rsid w:val="28614DFC"/>
    <w:rsid w:val="2B9B086F"/>
    <w:rsid w:val="2E4F3A99"/>
    <w:rsid w:val="305208F2"/>
    <w:rsid w:val="31E75593"/>
    <w:rsid w:val="33623E56"/>
    <w:rsid w:val="3546278C"/>
    <w:rsid w:val="38805754"/>
    <w:rsid w:val="39BD72C0"/>
    <w:rsid w:val="3AC52749"/>
    <w:rsid w:val="3B3C7CC2"/>
    <w:rsid w:val="42CA30C2"/>
    <w:rsid w:val="44CB1FEA"/>
    <w:rsid w:val="45302FEE"/>
    <w:rsid w:val="45E42210"/>
    <w:rsid w:val="47A96315"/>
    <w:rsid w:val="482C344B"/>
    <w:rsid w:val="4CAD0835"/>
    <w:rsid w:val="4CB408C0"/>
    <w:rsid w:val="50A43FD7"/>
    <w:rsid w:val="50FA40DE"/>
    <w:rsid w:val="58207527"/>
    <w:rsid w:val="588F1AE0"/>
    <w:rsid w:val="5EE36E18"/>
    <w:rsid w:val="65387F94"/>
    <w:rsid w:val="65934D30"/>
    <w:rsid w:val="6B4A4CDA"/>
    <w:rsid w:val="6C33178B"/>
    <w:rsid w:val="6D4241CC"/>
    <w:rsid w:val="72A4279C"/>
    <w:rsid w:val="739B4525"/>
    <w:rsid w:val="75515274"/>
    <w:rsid w:val="757260A4"/>
    <w:rsid w:val="76C4268C"/>
    <w:rsid w:val="78037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540" w:lineRule="exact"/>
      <w:ind w:firstLine="643" w:firstLineChars="200"/>
    </w:pPr>
    <w:rPr>
      <w:rFonts w:eastAsia="黑体"/>
      <w:b/>
      <w:bCs/>
      <w:color w:val="000000"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paragraph" w:customStyle="1" w:styleId="12">
    <w:name w:val="Char Char Char Char Char Char Char"/>
    <w:basedOn w:val="1"/>
    <w:qFormat/>
    <w:uiPriority w:val="0"/>
    <w:rPr>
      <w:rFonts w:eastAsia="仿宋_GB2312"/>
      <w:sz w:val="30"/>
      <w:szCs w:val="20"/>
    </w:rPr>
  </w:style>
  <w:style w:type="paragraph" w:customStyle="1" w:styleId="13">
    <w:name w:val="Char1"/>
    <w:basedOn w:val="1"/>
    <w:qFormat/>
    <w:uiPriority w:val="0"/>
    <w:pPr>
      <w:tabs>
        <w:tab w:val="left" w:pos="3240"/>
      </w:tabs>
      <w:spacing w:line="30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NormalCharacter"/>
    <w:qFormat/>
    <w:uiPriority w:val="0"/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14</Pages>
  <Words>1087</Words>
  <Characters>6199</Characters>
  <Lines>51</Lines>
  <Paragraphs>14</Paragraphs>
  <TotalTime>148</TotalTime>
  <ScaleCrop>false</ScaleCrop>
  <LinksUpToDate>false</LinksUpToDate>
  <CharactersWithSpaces>7272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2021-09-15T01:04:00Z</dcterms:created>
  <dc:creator>张磊</dc:creator>
  <cp:lastModifiedBy>Lenovo</cp:lastModifiedBy>
  <cp:lastPrinted>2021-09-01T01:55:00Z</cp:lastPrinted>
  <dcterms:modified xsi:type="dcterms:W3CDTF">2021-09-30T02:23:43Z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14E6F1F0BFB140289F0D138A038F212C</vt:lpwstr>
  </property>
</Properties>
</file>