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0"/>
          <w:sz w:val="44"/>
          <w:szCs w:val="44"/>
        </w:rPr>
        <w:t>2020年市中区国民经济和社会发展统计公报</w:t>
      </w:r>
    </w:p>
    <w:p>
      <w:pPr>
        <w:spacing w:beforeLines="100" w:afterLines="100" w:line="600" w:lineRule="exact"/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市中区统计局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2020年，面对新冠肺炎疫情的严重冲击以及国内外严峻复杂的宏观经济形势，全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上下在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政府的坚强领导下，坚持以习近平新时代中国特色社会主义思想为指导，全面贯彻党的十九大和十九届二中、三中、四中、五中全会精神，统筹推进疫情防控和经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济社会发展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牢固树立“大抓工业、抓大产业”导向，实施“工业强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、产业兴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”攻坚突破，统筹做好稳增长、促改革、调结构、惠民生、防风险、保稳定各项工作，全区经济运行稳定恢复、好于预期，为全面建成小康社会奠定了坚实基础，奋力开创新时代现代化强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建设新局面。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一、综合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经济运行好于预期。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市统计局统一核算，2020年全区生产总值(GDP)实现264.07亿元，按可比价格计算，比上年增长5.2%。分产业看，第一产业增加值10.47亿元，增长2.7%;第二产业增加值90.55亿元，增长4.5%;第三产业增加值163.05亿元，增长5.9%。三次产业结构由上年的3.9:35.4:60.7优化调整为4.0:34.3:61.7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物价保持在合理区间。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居民消费价格比上年上涨2.2%。其中,消费品价格上涨4.8%，服务价格下降1.7%。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表1：2020年居民消费价格指数（上年同期=100）</w:t>
      </w:r>
    </w:p>
    <w:tbl>
      <w:tblPr>
        <w:tblStyle w:val="8"/>
        <w:tblW w:w="61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2552"/>
      </w:tblGrid>
      <w:tr>
        <w:trPr>
          <w:trHeight w:val="312" w:hRule="exact"/>
          <w:jc w:val="center"/>
        </w:trPr>
        <w:tc>
          <w:tcPr>
            <w:tcW w:w="3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8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1"/>
                <w:sz w:val="30"/>
                <w:szCs w:val="30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1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1"/>
                <w:sz w:val="30"/>
                <w:szCs w:val="30"/>
              </w:rPr>
              <w:t>标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30"/>
                <w:szCs w:val="30"/>
              </w:rPr>
              <w:t>居民消费价格总指数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食品烟酒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衣着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居住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95.6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生活用品及服务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交通和通信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97.9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教育文化和娱乐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医疗保健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其他用品和服务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104.5</w:t>
            </w:r>
          </w:p>
        </w:tc>
      </w:tr>
    </w:tbl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重点战略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动能转换初见成效。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统产业优化升级，工业技改投资增长20.1%。新动能培育壮大，“四新”经济增加值占比达到29.8%，“四新”投资占比为36.5%。新增高新技术企业4家，总数达到28家。规模以上高新技术产业产值占规模以上工业总产值比重为37.1%。坚持工业强区战略，四大主导产业主营业务收入达到50.3亿元。市级以上农业龙头企业、农民专业合作社和家庭农场发展到53家、69家、17家。</w:t>
      </w:r>
    </w:p>
    <w:p>
      <w:pPr>
        <w:pStyle w:val="7"/>
        <w:widowControl/>
        <w:spacing w:beforeAutospacing="0" w:afterAutospacing="0" w:line="420" w:lineRule="atLeast"/>
        <w:ind w:firstLine="643" w:firstLineChars="200"/>
        <w:jc w:val="both"/>
        <w:rPr>
          <w:rFonts w:hint="default" w:ascii="Times New Roman" w:hAnsi="Times New Roman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改革开放深度拓展。</w:t>
      </w:r>
      <w:r>
        <w:rPr>
          <w:rFonts w:hint="default" w:ascii="Times New Roman" w:hAnsi="Times New Roman" w:cs="Times New Roman"/>
          <w:color w:val="auto"/>
          <w:kern w:val="2"/>
          <w:sz w:val="32"/>
        </w:rPr>
        <w:t>实行经营性国有资产统一监管，新组建中汇集团、财汇集团。各类金融机构发展到68家，成为全市唯一省级县域普惠金融综合示范区。51家企业完成股改，成为全市唯一拥有2家A股上市公司的区（市）。累计引进外来投资项目186个，开工建设亿元以上项目112个，一批大项目竣工投产。</w:t>
      </w:r>
    </w:p>
    <w:p>
      <w:pPr>
        <w:pStyle w:val="7"/>
        <w:widowControl/>
        <w:spacing w:beforeAutospacing="0" w:afterAutospacing="0" w:line="420" w:lineRule="atLeast"/>
        <w:ind w:firstLine="643" w:firstLineChars="200"/>
        <w:jc w:val="both"/>
        <w:rPr>
          <w:rFonts w:hint="default" w:ascii="Times New Roman" w:hAnsi="Times New Roman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三大攻坚成效显著。</w:t>
      </w:r>
      <w:r>
        <w:rPr>
          <w:rFonts w:hint="default" w:ascii="Times New Roman" w:hAnsi="Times New Roman" w:cs="Times New Roman"/>
          <w:color w:val="auto"/>
          <w:kern w:val="2"/>
          <w:sz w:val="32"/>
        </w:rPr>
        <w:t>积极稳妥化解辖区银行业金融机构不良贷款，政府债务率稳定在合理水平。累计使用扶贫资金5675万元，实施产业扶贫项目64个，2个市定扶贫重点村摘帽退出，建档立卡贫困人口全部稳定脱贫。全面落实“河长制”，建成人工湿地7处，出境断面水质稳定达标。环境空气质量优良天数比“十二五”末增加56天。</w:t>
      </w:r>
    </w:p>
    <w:p>
      <w:pPr>
        <w:pStyle w:val="7"/>
        <w:widowControl/>
        <w:spacing w:beforeAutospacing="0" w:afterAutospacing="0" w:line="420" w:lineRule="atLeast"/>
        <w:ind w:firstLine="643" w:firstLineChars="200"/>
        <w:jc w:val="both"/>
        <w:rPr>
          <w:rFonts w:hint="default" w:ascii="Times New Roman" w:hAnsi="Times New Roman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大力实施城市西进战略。</w:t>
      </w:r>
      <w:r>
        <w:rPr>
          <w:rFonts w:hint="default" w:ascii="Times New Roman" w:hAnsi="Times New Roman" w:cs="Times New Roman"/>
          <w:color w:val="auto"/>
          <w:kern w:val="2"/>
          <w:sz w:val="32"/>
        </w:rPr>
        <w:t>济枣高铁枣庄南站落户我区，老城进入“高铁时代”,山东济枣高速铁路有限公司总部完成注册，实现总部经济新突破。扎实推进乡村振兴战略，美丽乡村创建率达100%。建设农村道路315公里，成功创建全省村级公路网化示范县和“四好农村路”示范区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三、农业</w:t>
      </w:r>
    </w:p>
    <w:p>
      <w:pPr>
        <w:pStyle w:val="7"/>
        <w:widowControl/>
        <w:spacing w:beforeAutospacing="0" w:afterAutospacing="0" w:line="420" w:lineRule="atLeast"/>
        <w:ind w:firstLine="643" w:firstLineChars="200"/>
        <w:jc w:val="both"/>
        <w:rPr>
          <w:rFonts w:hint="default" w:ascii="Times New Roman" w:hAnsi="Times New Roman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农业生产稳中有增。</w:t>
      </w:r>
      <w:r>
        <w:rPr>
          <w:rFonts w:hint="default" w:ascii="Times New Roman" w:hAnsi="Times New Roman" w:cs="Times New Roman"/>
          <w:color w:val="auto"/>
          <w:kern w:val="2"/>
          <w:sz w:val="32"/>
        </w:rPr>
        <w:t>实现农林牧渔业增加值11.44亿元，增长2.8%，其中农林牧渔服务业增加值增长3.6%。</w:t>
      </w:r>
    </w:p>
    <w:p>
      <w:pPr>
        <w:pStyle w:val="7"/>
        <w:widowControl/>
        <w:spacing w:beforeAutospacing="0" w:afterAutospacing="0" w:line="420" w:lineRule="atLeast"/>
        <w:ind w:firstLine="643" w:firstLineChars="200"/>
        <w:jc w:val="both"/>
        <w:rPr>
          <w:rFonts w:hint="default" w:ascii="Times New Roman" w:hAnsi="Times New Roman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农产品产量基本稳定。</w:t>
      </w:r>
      <w:r>
        <w:rPr>
          <w:rFonts w:hint="default" w:ascii="Times New Roman" w:hAnsi="Times New Roman" w:cs="Times New Roman"/>
          <w:color w:val="auto"/>
          <w:kern w:val="2"/>
          <w:sz w:val="32"/>
        </w:rPr>
        <w:t>粮食作物种植面积21.31万亩，粮食总产7.64万吨，单产358.6公斤/亩。蔬菜种植面积4.54万亩，增长1.1%；产量15.47万吨，增长1.6%。油料种植面积4.28万亩，增长0.9%；产量1.04万吨，增长4.5%。年末果园面积1.64万亩，与去年持平；水果1.50万吨，增长4.9%。</w:t>
      </w:r>
    </w:p>
    <w:p>
      <w:pPr>
        <w:spacing w:line="600" w:lineRule="exact"/>
        <w:ind w:firstLine="643" w:firstLineChars="200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表2：主要农产品产量</w:t>
      </w:r>
    </w:p>
    <w:tbl>
      <w:tblPr>
        <w:tblStyle w:val="8"/>
        <w:tblW w:w="87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031"/>
        <w:gridCol w:w="2183"/>
        <w:gridCol w:w="21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233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2" w:firstLineChars="200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  <w:t>产品</w:t>
            </w:r>
          </w:p>
        </w:tc>
        <w:tc>
          <w:tcPr>
            <w:tcW w:w="203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2" w:firstLineChars="200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  <w:t>单位</w:t>
            </w:r>
          </w:p>
        </w:tc>
        <w:tc>
          <w:tcPr>
            <w:tcW w:w="218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2" w:firstLineChars="200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  <w:t>产量</w:t>
            </w:r>
          </w:p>
        </w:tc>
        <w:tc>
          <w:tcPr>
            <w:tcW w:w="218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2" w:firstLineChars="20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30"/>
                <w:szCs w:val="30"/>
              </w:rPr>
              <w:t>增速(%)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粮食</w:t>
            </w:r>
          </w:p>
        </w:tc>
        <w:tc>
          <w:tcPr>
            <w:tcW w:w="203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7.64</w:t>
            </w:r>
          </w:p>
        </w:tc>
        <w:tc>
          <w:tcPr>
            <w:tcW w:w="2183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油料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1.04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蔬菜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15.47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水果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1.50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猪年末存栏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万头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7.56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25.0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羊年末存栏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万只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4.40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112.6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肉类总产量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1.40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-18.1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禽蛋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0.92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-17.1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奶类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0.32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113.3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水产品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万吨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0.33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420" w:lineRule="atLeast"/>
              <w:ind w:firstLine="600" w:firstLineChars="20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</w:rPr>
              <w:t>4.8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农业生产条件不断改善。</w:t>
      </w:r>
      <w:r>
        <w:rPr>
          <w:rFonts w:hint="default" w:ascii="Times New Roman" w:hAnsi="Times New Roman" w:cs="Times New Roman"/>
          <w:color w:val="auto"/>
          <w:kern w:val="2"/>
          <w:sz w:val="32"/>
        </w:rPr>
        <w:t>农机装备总量提升、结构优化，农业机械总动力达26.44万千瓦，增长5.1%。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林牧渔业平稳发展。</w:t>
      </w:r>
      <w:r>
        <w:rPr>
          <w:rFonts w:hint="default" w:ascii="Times New Roman" w:hAnsi="Times New Roman" w:cs="Times New Roman"/>
          <w:color w:val="auto"/>
          <w:kern w:val="2"/>
          <w:sz w:val="32"/>
        </w:rPr>
        <w:t>造林面积完成122公顷，林木蓄积量达到0.24万立方米，新育苗面积32公顷。全年肉类、禽蛋、奶类产量分别达到1.4万吨、0.93万吨、0.32万吨。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四、工业和建筑业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工业运行平稳。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规模以上工业增加值增长13%。其中，轻工业增长29.3%，重工业增长7.7%，轻工业快于重工业21.6个百分点。规模以上工业产品销售率为100.9%。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重点行业较快增长。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统的26个行业大类中，18个行业实现增加值增长，行业增长面达69.2%。非金属矿物制品业、医药制造业、化学原料和化学制品制造业、非金属矿采选业、电器机械及器材制造业增加值分别增长8.6%、132.8%、15.2%、3.8%、24.6%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主要产品生产稳定。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在统的28种重点产品中，19种产品产量实现增长。其中，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、商品混凝土、烧碱、高低压开关设备等主要产品产量比上年分别增长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%、13.2%、73.8%。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表3：主要工业产品产量</w:t>
      </w:r>
    </w:p>
    <w:tbl>
      <w:tblPr>
        <w:tblStyle w:val="8"/>
        <w:tblW w:w="83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1"/>
        <w:gridCol w:w="1650"/>
        <w:gridCol w:w="1617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3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ind w:firstLine="723" w:firstLineChars="300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产量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比上年增长%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电子元件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万只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191.82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-77.9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布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万米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203.10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-40.9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铸钢件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273.00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-33.7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铝材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1130.00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-21.1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小麦粉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3055.00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-21.0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气动元件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件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16319.00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-18.4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服装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万件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12130.33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-12.3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纸制品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41788.00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水泥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745.75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-0.3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纱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13555.00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自来水生产量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万立方米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2072.00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商品混凝土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万立方米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99.68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工业自动调节仪表与控制系统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台（套）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112.00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铁矿石原矿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56.91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烧碱（折100％）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11.51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硅酸盐水泥熟料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405.81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化学试剂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7772.00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摩托车充气橡胶轮胎外胎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万条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135.96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焙烤松脆食品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4122.00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22.2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建筑业发展平稳。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建筑业企业完成总产值94.7亿元，增长12.7%，本年新签建筑业合同额93亿元，增长2.1%。施工面积479万平方米，增长123.7%。实现房屋建筑竣工面积116万平方米，下降3.6%。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五、服务业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服务业新动能增速较快。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服务业实现增加值163.05亿元，按可比价格计算，比上年增长5.9%，增幅高于GDP增幅0.7个百分点。服务业占全区GDP比重为61.7%，比上年提高1个百分点。规模以上服务业营业收入增长3.9%。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文旅事业融合发展。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文化“三下乡”、端午节主题活动、庆七一书画名家交流笔会、迎国庆奔小康书画摄影展等。承办市群艺节庄户剧团展演、2020年第四届“鲁风运河”美食节暨枣庄第四届辣子鸡美食文化节、2020“冬游齐鲁·福乐枣庄惠民季”启动仪式暨市中区冬游产品发布会等，其中辣子鸡美食文化节直播观看人数突破70万人次。组织戏曲进基层活动，送戏下乡169场；放映农村公益电影1255场。推进广电扶贫，落实户户通，922户建档立卡贫困户全部安装完毕。整改提升旅游厕所，5座A级旅游厕所通过省复核验收，改建新建旅游厕所11座。全区共招引文旅项目8个，投资超过28.77亿元，已到位资金4.02亿元。出动执法人员2052人次，检查文旅企业768家次，处罚违规经营单位10家，荣获全省艺术考级业务管理与“互联网+监管”工作先进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旅游复苏有效。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接待国内外游客258.8万人次，实现旅游总收入11.7亿元，分别恢复至上年水平的61%和38.9%。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交通设施建设加快。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共有市、区交通重点项目12个，其中6个纳入区级重点项目，项目总投资29.68亿元,年度完成投资5.79亿元。年末全区公路总里程757.038公里，公路密度201.7公里/百平方公里，其中国道19.255公里，省道96.301公里，县道53.306公里，乡镇公路116.156公里，村级公路471.353公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邮政通讯业快速发展。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邮政行业业务收入0.75亿元，比上年增长27.1%。其中快递业务收入0.12亿元，是去年的6.3倍。电信业务总量0.21亿元，下降41.7%。移动电话业务总量2.11亿元，固定电话用户15.20万户，移动电话用户41万户。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6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六、固定资产投资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投资结构持续优化，总体平稳增长。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定资产投资增长2.2%。三次产业投资构成为0.3:30:69.7。“四新”经济投资占比达到36.5%。淮海数字智谷、海斯凯尔新一代肝纤维化诊断系统规模化生产基地项目、金顺怡智能制造产业园项目、骏盛快速病例系列产品研发与生产项目、中建材科创新技术研究院建设项目等一大批高端项目落地市中。重点领域中，工业技改投资增长20.1%；民间投资增长22.5%，占比达68.1%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房地产市场商品住宅产销两旺。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房地产开发投资46.95亿元、增长39.8%。房屋施工面积405.26万平方米、下降5.5%；房屋竣工面积75.19万平方米，下降32.6%。实现商品房销售面积111.61万平方米、增长65.3%；商品房销售额完成77.55亿元、增长103.7%。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6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七、消费市场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消费品市场稳步复苏。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消费品零售总额120.24亿元，比上年下降4.8%。城镇实现社会消费品零售总额87.65亿元，下降4.7%；乡村实现社会消费品零售总额32.59亿元，下降5.1%，城镇消费品市场回暖步伐快于乡村市场。实现餐饮收入15.63亿元，下降2.1%；商品零售额104.61亿元，下降5.5%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消费结构不断优化。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公共网络实现的商品零售额增长228.4%。汽车类零售额增长39.1%，其中新能源汽车零售额增长10.4%。受新冠肺炎疫情防控常态化影响，中西医药品类零售全年保持较快增长。限额以上中西医药品类零售额1.4亿元，增长23.5%，占限额以上单位零售额的4.2%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八、开放型经济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货物进出口快速增长。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货物进出口总额实现46.52亿元，比上年增长68.5%。其中，出口总额45.62亿元，增长67%；进口总额0.9亿元，增长220.7%。发放政策汇编600余册。先后为企业发放中央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外贸发展专项资金88.18万元，为58家外贸、外资企业发放奖励资金444.35万元。搭建银企平台，联合各类金融机构为企业贷款、授信额度1亿元人民币。大力引导外贸企业投保出口信用保险，联系中国信保为17家外部署业免费投保。培育外贸新业态，先后引进北方电商基地等跨境电商项目。依托枣庄二手车市场，成功创建二手车出口试点城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对外投资较快增长。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全区引进外资4385万美元，增长212.5%。成功举办重点外资项目“云签约”活动，签约外资项目5个，合同利用外资1.63亿美元。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九、财税金融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财政收支保持平稳。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现财政一般公共预算收入23.1亿元，增长2.0%，增幅较去年同期提高0.2个百分点；财政收入中税收占比81.2%，较同期回落5.5个百分点。完成一般公共预算支出31.3亿元，下降2.6%，降速较去年同期收窄8.6个百分点；其中民生支出23.12亿元，占公共预算支出的73.9%，较上年提高1.4个百分点，其中住房保障、交通运输、社会保障和就业、教育等分别增长9.8%、7.4%、5.8%、6.8%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税收收入减少。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共组织各项收入34.57亿元，下降2.3%，减收0.82亿元。其中，税收收入完成33.51亿元，下降2.6%；非税收入完成1.06亿元，增长5.6%。精准落实退税政策，优化退税服务流程，加快退税办理进度，帮助企业渡过难关。年内共办理出口退税3.27亿元。对法律救济渠道、企业所得税征收方式核定结果等16类事项共906条信息进行了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信贷规模持续扩大。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末金融机构本外币存款余额526.6亿元，增长10.2%，总量比年初增加48.8亿元。其中，住户存款368.2亿元，比年初增加43.2亿元；金融机构本外币贷款余额393.4亿元，增长8.2%，总量比年初增加29.7亿元。较好满足了居民购房、购车等消费需求，促进了居民消费层次的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十、民生保障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居民生活改善。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居民人均可支配收入32058元，比上年增长3.8%；其中，城镇居民人均可支配收入35668元，增长3.5%；农村居民人均可支配收入18475元，增长5.6%。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城市设施不断提升。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建改建道路26条，城区主路网日益完善，实施了13条城市道路新改建工程，谷山路、科创路、人民西路等9条道路建成通车，新区路网不断完善。改善民生，棚户区改造多点开花。建材市场片区项目征收工作已基本完成；田庄、阳光花园项目已办理立项手续，规划方案设计初步完成，机关企事业单位摸底全面启动，区粮食局、军供粮站、老年大学已签订征收补偿协议；市中新区医院、文化西路西延征收工作已启动，正在进行征收；新区医院建设征收涉及的成东武校、红石岭度假村征收正在协商，阳光花园、亚细亚棚改项目正按法定程序完善手续，适时启动征收。希望社区、东湖春天、前岭改造项目、金泰电子职工宿舍等回迁安置项目建设快速推进。惠民生，老旧小区改造超额完成。投资1.89亿元，高质量完成了102个老旧小区改造，共953栋楼、198.89万平方米，惠及群众20789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养老保险工作平稳运行。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全区参加基本养老保险居民11.9万人，为66514名离退休人员发放养老保险金。机关在职参保人数9736人，征收基金1.65亿元。为全区5061名退休人员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养老金发放工作，发放养老金3.15亿元。全区共有企业参保单位4300家，参保缴费人数52322余人。累计征缴养老保险金3.89亿元，完成全年预算任务3.5亿元的111.14%。共有企业离退休人员1.25万名，累计发放离退休费3.9亿元。灵活就业人员0.73万人。失业保险参保人数25919人，企业失业保险基金征缴1356万元。征缴工伤保险基金336万元，全年支出工伤保险待遇655万元。城市最低生活保障人数3001人，月人均保障标准582元。农村最低生活保障人数4384人，月人均保障标准340元。养老机构13处，养老机构床位2405张，建有城市老年人日间照料中心22处、农村幸福院26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安全生产事故下降。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安全生产事故下降。全年发生生产安全事故6起、死亡4人，分别下降33.3%、55.5%。在发生事故的行业（领域）中，交通运输业事故4起、死亡4人；采矿业未发生事故；建筑业事故1起；其他事故1起。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十一、社会事业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教育事业发展良好。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普通中等职业学校招生101人，毕业46人，在校生561人。普通高中招生2301人，毕业1982人，在校生5624人。普通初中招生11187人，毕业5917人，在校生27010人。小学招生8619人，毕业12137人，在校生56510人。幼儿园在园儿童13136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卫生服务能力提升。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2020年卫生机构数 351 个，其中区级综合医院 1 个、卫生院5个、社区卫生服务中心6个、妇幼保健机构1个、村卫生室116个、社区卫生服务站19个；卫生技术人员1662人，其中执业医师 563人、执业助理医师103人、注册护士784人、妇幼卫生机构人员 266人；卫生机构床位数1950张，其中综合医院床位数600张、卫生院床位数257张、妇幼保健机构床位数120张。乡镇卫生院机构数5个、床位数257张、人员数556 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体育事业全面发展。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承办市级赛事活动1项，举办区级大型全民健身运动会单项比赛 12 项次。对枣庄全民健身中心（东湖公园）公共体育设施提档升级，投资新建东湖公园北侧三处五人制围网灯光足球场，两处人工草坪门球场。更换市中区全民健身中心（市南工业园）足球场草皮，更换安装体育健身器材242件。截至2020年底全区行政村体育健身工程建设覆盖率已达100%。2020年共获得省级赛事冠军 2个，亚军 7 个，季军 8个。体育彩票全年累计销量1.4亿元，在售网点88家。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注：1．本公报中数据均为初步统计数，部分数据因四舍五入影响，存在总计与分项合计不等情况。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2．全区生产总值、各产业增加值按现价计算，增长速度按可比价格计算。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3.2020年开展第七次全国人口普查，人口相关数据将通过《市中区2020年第七次全国人口普查主要数据公报》进行公布。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4．规模以上工业企业指年主营业务收入2000万元及以上的工业法人企业。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．规模以上服务业统计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6．固定资产投资包括城镇和农村各种登记注册类型的企业、事业、行政单位以及城镇个体户计划总投资500万元及以上的建设项目投资，有开发经营活动的全部房地产开发经营业法人单位开发项目投资。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．限额以上批发业企业指年主营业务收入2000万元及以上的批发业企业，限额以上零售业企业指年主营业务收入500万元及以上的零售业企业，限额以上住宿和餐饮业企业指年主营业务收入200万元及以上的住宿和餐饮业企业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9C285F-EF29-4723-ADAA-2B6310A954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D6C292-CBAA-43D5-A375-FC2CEB0A999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6B584D-D390-4EAD-98B0-6258D403D8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9FD276E-E1EF-4213-B88F-14AA665E1C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B9517"/>
    <w:multiLevelType w:val="singleLevel"/>
    <w:tmpl w:val="B12B95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3E1D"/>
    <w:rsid w:val="00001712"/>
    <w:rsid w:val="0000563F"/>
    <w:rsid w:val="00014659"/>
    <w:rsid w:val="000213C1"/>
    <w:rsid w:val="00022689"/>
    <w:rsid w:val="000337D6"/>
    <w:rsid w:val="000356A9"/>
    <w:rsid w:val="00042274"/>
    <w:rsid w:val="000444AB"/>
    <w:rsid w:val="000467AA"/>
    <w:rsid w:val="000473F8"/>
    <w:rsid w:val="0005027B"/>
    <w:rsid w:val="00055AE0"/>
    <w:rsid w:val="00077575"/>
    <w:rsid w:val="00084115"/>
    <w:rsid w:val="000923E7"/>
    <w:rsid w:val="000A2D25"/>
    <w:rsid w:val="000A2E53"/>
    <w:rsid w:val="000A5980"/>
    <w:rsid w:val="000B46E6"/>
    <w:rsid w:val="000B478F"/>
    <w:rsid w:val="000C04F1"/>
    <w:rsid w:val="000C0FBD"/>
    <w:rsid w:val="000D01A3"/>
    <w:rsid w:val="0010082C"/>
    <w:rsid w:val="00102B35"/>
    <w:rsid w:val="00107687"/>
    <w:rsid w:val="00113E21"/>
    <w:rsid w:val="0011640D"/>
    <w:rsid w:val="001626A6"/>
    <w:rsid w:val="00180ECA"/>
    <w:rsid w:val="00183515"/>
    <w:rsid w:val="00193526"/>
    <w:rsid w:val="0019677E"/>
    <w:rsid w:val="001A3E1D"/>
    <w:rsid w:val="001B1BA1"/>
    <w:rsid w:val="001B57AF"/>
    <w:rsid w:val="001D0F4A"/>
    <w:rsid w:val="001D26AE"/>
    <w:rsid w:val="001D5D4C"/>
    <w:rsid w:val="001E3953"/>
    <w:rsid w:val="001F0673"/>
    <w:rsid w:val="001F25A3"/>
    <w:rsid w:val="002128EE"/>
    <w:rsid w:val="00213C62"/>
    <w:rsid w:val="00230C56"/>
    <w:rsid w:val="00234B46"/>
    <w:rsid w:val="00252D1B"/>
    <w:rsid w:val="002745C2"/>
    <w:rsid w:val="00283251"/>
    <w:rsid w:val="002945C0"/>
    <w:rsid w:val="002A0483"/>
    <w:rsid w:val="002D0D64"/>
    <w:rsid w:val="002D149A"/>
    <w:rsid w:val="002D746E"/>
    <w:rsid w:val="002E4C88"/>
    <w:rsid w:val="002E6ED0"/>
    <w:rsid w:val="00300429"/>
    <w:rsid w:val="003177E8"/>
    <w:rsid w:val="00323F16"/>
    <w:rsid w:val="00340F59"/>
    <w:rsid w:val="00346D28"/>
    <w:rsid w:val="00350DB8"/>
    <w:rsid w:val="003512AC"/>
    <w:rsid w:val="00364F3A"/>
    <w:rsid w:val="00375975"/>
    <w:rsid w:val="003834C0"/>
    <w:rsid w:val="00387A03"/>
    <w:rsid w:val="003A63AA"/>
    <w:rsid w:val="003A7A21"/>
    <w:rsid w:val="003C1C9B"/>
    <w:rsid w:val="003C262B"/>
    <w:rsid w:val="003D5363"/>
    <w:rsid w:val="003D7097"/>
    <w:rsid w:val="003F07F1"/>
    <w:rsid w:val="004000CD"/>
    <w:rsid w:val="00400F04"/>
    <w:rsid w:val="0040159C"/>
    <w:rsid w:val="00401EE9"/>
    <w:rsid w:val="00416A38"/>
    <w:rsid w:val="00425063"/>
    <w:rsid w:val="00453B02"/>
    <w:rsid w:val="0046668B"/>
    <w:rsid w:val="004712CA"/>
    <w:rsid w:val="004A244D"/>
    <w:rsid w:val="004B3A33"/>
    <w:rsid w:val="004B4324"/>
    <w:rsid w:val="004B7E00"/>
    <w:rsid w:val="004D4AC5"/>
    <w:rsid w:val="004D4DB1"/>
    <w:rsid w:val="004D70EF"/>
    <w:rsid w:val="004F59E5"/>
    <w:rsid w:val="005027C5"/>
    <w:rsid w:val="00503D08"/>
    <w:rsid w:val="00506EFA"/>
    <w:rsid w:val="00527401"/>
    <w:rsid w:val="0054473B"/>
    <w:rsid w:val="005509C5"/>
    <w:rsid w:val="00551361"/>
    <w:rsid w:val="00564E3E"/>
    <w:rsid w:val="0056566A"/>
    <w:rsid w:val="00577EE6"/>
    <w:rsid w:val="00594B54"/>
    <w:rsid w:val="005968DF"/>
    <w:rsid w:val="005A5507"/>
    <w:rsid w:val="005E19D3"/>
    <w:rsid w:val="005E5142"/>
    <w:rsid w:val="005E5490"/>
    <w:rsid w:val="005F1EA3"/>
    <w:rsid w:val="005F21CC"/>
    <w:rsid w:val="005F7135"/>
    <w:rsid w:val="00600463"/>
    <w:rsid w:val="0061176E"/>
    <w:rsid w:val="00613895"/>
    <w:rsid w:val="00663473"/>
    <w:rsid w:val="00665F7E"/>
    <w:rsid w:val="0068227E"/>
    <w:rsid w:val="00685239"/>
    <w:rsid w:val="00685921"/>
    <w:rsid w:val="006A17DC"/>
    <w:rsid w:val="006B3F6F"/>
    <w:rsid w:val="006B7CDC"/>
    <w:rsid w:val="006C1B8E"/>
    <w:rsid w:val="006C38A0"/>
    <w:rsid w:val="006C4F96"/>
    <w:rsid w:val="006C5136"/>
    <w:rsid w:val="006E40A1"/>
    <w:rsid w:val="006F0D17"/>
    <w:rsid w:val="006F522E"/>
    <w:rsid w:val="00704D09"/>
    <w:rsid w:val="00705AB7"/>
    <w:rsid w:val="00715E1F"/>
    <w:rsid w:val="00747D42"/>
    <w:rsid w:val="00757824"/>
    <w:rsid w:val="00760034"/>
    <w:rsid w:val="00763BB7"/>
    <w:rsid w:val="0078777D"/>
    <w:rsid w:val="00791570"/>
    <w:rsid w:val="007A3FFF"/>
    <w:rsid w:val="007A5472"/>
    <w:rsid w:val="007A7F30"/>
    <w:rsid w:val="007A7FC0"/>
    <w:rsid w:val="007B26C8"/>
    <w:rsid w:val="007B6ACE"/>
    <w:rsid w:val="007D0F89"/>
    <w:rsid w:val="007D2E27"/>
    <w:rsid w:val="007E7A60"/>
    <w:rsid w:val="007F1373"/>
    <w:rsid w:val="007F5CAC"/>
    <w:rsid w:val="00801A74"/>
    <w:rsid w:val="008033FD"/>
    <w:rsid w:val="00815FE4"/>
    <w:rsid w:val="00833769"/>
    <w:rsid w:val="008349DD"/>
    <w:rsid w:val="00845554"/>
    <w:rsid w:val="00863A8F"/>
    <w:rsid w:val="00880A3B"/>
    <w:rsid w:val="00882270"/>
    <w:rsid w:val="0089267C"/>
    <w:rsid w:val="0089314A"/>
    <w:rsid w:val="008A2E60"/>
    <w:rsid w:val="008B59C2"/>
    <w:rsid w:val="008E3BE1"/>
    <w:rsid w:val="008F36A6"/>
    <w:rsid w:val="009028E5"/>
    <w:rsid w:val="00902A43"/>
    <w:rsid w:val="00916F48"/>
    <w:rsid w:val="00934275"/>
    <w:rsid w:val="00942707"/>
    <w:rsid w:val="00943C7D"/>
    <w:rsid w:val="009460B5"/>
    <w:rsid w:val="009466F2"/>
    <w:rsid w:val="0094770D"/>
    <w:rsid w:val="00951698"/>
    <w:rsid w:val="00954CB1"/>
    <w:rsid w:val="00965A93"/>
    <w:rsid w:val="009736ED"/>
    <w:rsid w:val="00994503"/>
    <w:rsid w:val="009A4933"/>
    <w:rsid w:val="009B4F37"/>
    <w:rsid w:val="009B6504"/>
    <w:rsid w:val="009C11CC"/>
    <w:rsid w:val="009C6890"/>
    <w:rsid w:val="009C695A"/>
    <w:rsid w:val="009D2963"/>
    <w:rsid w:val="009F5520"/>
    <w:rsid w:val="009F573F"/>
    <w:rsid w:val="009F6D95"/>
    <w:rsid w:val="00A0228D"/>
    <w:rsid w:val="00A30123"/>
    <w:rsid w:val="00A40198"/>
    <w:rsid w:val="00A410EA"/>
    <w:rsid w:val="00A42ED6"/>
    <w:rsid w:val="00A51E7B"/>
    <w:rsid w:val="00A5224B"/>
    <w:rsid w:val="00A52560"/>
    <w:rsid w:val="00A602FC"/>
    <w:rsid w:val="00A62A55"/>
    <w:rsid w:val="00A65587"/>
    <w:rsid w:val="00A70039"/>
    <w:rsid w:val="00A77280"/>
    <w:rsid w:val="00A81A29"/>
    <w:rsid w:val="00A87E3C"/>
    <w:rsid w:val="00A9286F"/>
    <w:rsid w:val="00A953DA"/>
    <w:rsid w:val="00AA696F"/>
    <w:rsid w:val="00AD7DA6"/>
    <w:rsid w:val="00AE6E20"/>
    <w:rsid w:val="00AF2D92"/>
    <w:rsid w:val="00AF5C95"/>
    <w:rsid w:val="00B04291"/>
    <w:rsid w:val="00B05C3E"/>
    <w:rsid w:val="00B06A7E"/>
    <w:rsid w:val="00B07F3B"/>
    <w:rsid w:val="00B17018"/>
    <w:rsid w:val="00B255C9"/>
    <w:rsid w:val="00B361C3"/>
    <w:rsid w:val="00B3728A"/>
    <w:rsid w:val="00B372C3"/>
    <w:rsid w:val="00B376AF"/>
    <w:rsid w:val="00B4673C"/>
    <w:rsid w:val="00B529C4"/>
    <w:rsid w:val="00B77E17"/>
    <w:rsid w:val="00B821BD"/>
    <w:rsid w:val="00B876B1"/>
    <w:rsid w:val="00B93EF6"/>
    <w:rsid w:val="00B94EEB"/>
    <w:rsid w:val="00BD51C8"/>
    <w:rsid w:val="00BE5063"/>
    <w:rsid w:val="00BE5A0E"/>
    <w:rsid w:val="00BF18A2"/>
    <w:rsid w:val="00BF7454"/>
    <w:rsid w:val="00C032C9"/>
    <w:rsid w:val="00C07D46"/>
    <w:rsid w:val="00C1028B"/>
    <w:rsid w:val="00C14F9E"/>
    <w:rsid w:val="00C21425"/>
    <w:rsid w:val="00C2637A"/>
    <w:rsid w:val="00C269C3"/>
    <w:rsid w:val="00C320BA"/>
    <w:rsid w:val="00C36031"/>
    <w:rsid w:val="00C3749A"/>
    <w:rsid w:val="00C522D5"/>
    <w:rsid w:val="00C82A36"/>
    <w:rsid w:val="00C838E5"/>
    <w:rsid w:val="00C91D8D"/>
    <w:rsid w:val="00CA6AFD"/>
    <w:rsid w:val="00CB78EC"/>
    <w:rsid w:val="00CD1FC4"/>
    <w:rsid w:val="00CD5262"/>
    <w:rsid w:val="00CD679A"/>
    <w:rsid w:val="00CE2BE9"/>
    <w:rsid w:val="00CF0AA2"/>
    <w:rsid w:val="00D07E06"/>
    <w:rsid w:val="00D14A0C"/>
    <w:rsid w:val="00D4168A"/>
    <w:rsid w:val="00D4171F"/>
    <w:rsid w:val="00D555CB"/>
    <w:rsid w:val="00D655C8"/>
    <w:rsid w:val="00D70073"/>
    <w:rsid w:val="00D704FE"/>
    <w:rsid w:val="00D868B7"/>
    <w:rsid w:val="00D95FB0"/>
    <w:rsid w:val="00DA3F3C"/>
    <w:rsid w:val="00DA5792"/>
    <w:rsid w:val="00DB0B64"/>
    <w:rsid w:val="00DB3EAA"/>
    <w:rsid w:val="00DB6D9B"/>
    <w:rsid w:val="00DF2168"/>
    <w:rsid w:val="00E01C3B"/>
    <w:rsid w:val="00E14CF1"/>
    <w:rsid w:val="00E21C85"/>
    <w:rsid w:val="00E433D9"/>
    <w:rsid w:val="00E50A60"/>
    <w:rsid w:val="00E50D8D"/>
    <w:rsid w:val="00E62372"/>
    <w:rsid w:val="00E911C7"/>
    <w:rsid w:val="00EA03A3"/>
    <w:rsid w:val="00EA176F"/>
    <w:rsid w:val="00EA673C"/>
    <w:rsid w:val="00ED5F61"/>
    <w:rsid w:val="00ED65DD"/>
    <w:rsid w:val="00ED7FFA"/>
    <w:rsid w:val="00EE7741"/>
    <w:rsid w:val="00EF1959"/>
    <w:rsid w:val="00EF36BF"/>
    <w:rsid w:val="00F02905"/>
    <w:rsid w:val="00F05868"/>
    <w:rsid w:val="00F11873"/>
    <w:rsid w:val="00F14630"/>
    <w:rsid w:val="00F15390"/>
    <w:rsid w:val="00F20D45"/>
    <w:rsid w:val="00F24D80"/>
    <w:rsid w:val="00F43A8C"/>
    <w:rsid w:val="00F539B3"/>
    <w:rsid w:val="00F56983"/>
    <w:rsid w:val="00F5792D"/>
    <w:rsid w:val="00F6133B"/>
    <w:rsid w:val="00F624EE"/>
    <w:rsid w:val="00F65B8A"/>
    <w:rsid w:val="00F66387"/>
    <w:rsid w:val="00F66D82"/>
    <w:rsid w:val="00F729A5"/>
    <w:rsid w:val="00F866BD"/>
    <w:rsid w:val="00F901FB"/>
    <w:rsid w:val="00F94BC8"/>
    <w:rsid w:val="00FA1EC8"/>
    <w:rsid w:val="00FA2733"/>
    <w:rsid w:val="00FA7610"/>
    <w:rsid w:val="00FC4E1E"/>
    <w:rsid w:val="00FD4FCB"/>
    <w:rsid w:val="00FD5A63"/>
    <w:rsid w:val="00FE5DC8"/>
    <w:rsid w:val="00FF42C8"/>
    <w:rsid w:val="00FF49CE"/>
    <w:rsid w:val="015C06E0"/>
    <w:rsid w:val="03FB5D9F"/>
    <w:rsid w:val="052536D2"/>
    <w:rsid w:val="09427C83"/>
    <w:rsid w:val="0B345E7E"/>
    <w:rsid w:val="0BEE54B9"/>
    <w:rsid w:val="0D790089"/>
    <w:rsid w:val="107F3D28"/>
    <w:rsid w:val="10C0195B"/>
    <w:rsid w:val="187D1DE5"/>
    <w:rsid w:val="18EC6641"/>
    <w:rsid w:val="1A304941"/>
    <w:rsid w:val="1F1616D6"/>
    <w:rsid w:val="26576A65"/>
    <w:rsid w:val="28614DFC"/>
    <w:rsid w:val="2B9B086F"/>
    <w:rsid w:val="2E4F3A99"/>
    <w:rsid w:val="305208F2"/>
    <w:rsid w:val="31E75593"/>
    <w:rsid w:val="33623E56"/>
    <w:rsid w:val="3546278C"/>
    <w:rsid w:val="38805754"/>
    <w:rsid w:val="39BD72C0"/>
    <w:rsid w:val="3AC52749"/>
    <w:rsid w:val="3B3C7CC2"/>
    <w:rsid w:val="42CA30C2"/>
    <w:rsid w:val="44CB1FEA"/>
    <w:rsid w:val="45302FEE"/>
    <w:rsid w:val="45E42210"/>
    <w:rsid w:val="47A96315"/>
    <w:rsid w:val="482C344B"/>
    <w:rsid w:val="4CAD0835"/>
    <w:rsid w:val="4CB408C0"/>
    <w:rsid w:val="50A43FD7"/>
    <w:rsid w:val="50FA40DE"/>
    <w:rsid w:val="58207527"/>
    <w:rsid w:val="588F1AE0"/>
    <w:rsid w:val="5EE36E18"/>
    <w:rsid w:val="65387F94"/>
    <w:rsid w:val="65934D30"/>
    <w:rsid w:val="6B4A4CDA"/>
    <w:rsid w:val="6C33178B"/>
    <w:rsid w:val="6D4241CC"/>
    <w:rsid w:val="72A4279C"/>
    <w:rsid w:val="739B4525"/>
    <w:rsid w:val="75515274"/>
    <w:rsid w:val="757260A4"/>
    <w:rsid w:val="76C4268C"/>
    <w:rsid w:val="78037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540" w:lineRule="exact"/>
      <w:ind w:firstLine="643" w:firstLineChars="200"/>
    </w:pPr>
    <w:rPr>
      <w:rFonts w:eastAsia="黑体"/>
      <w:b/>
      <w:bCs/>
      <w:color w:val="000000"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仿宋_GB2312" w:hAnsi="仿宋_GB2312" w:eastAsia="仿宋_GB2312"/>
      <w:kern w:val="0"/>
      <w:sz w:val="2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paragraph" w:customStyle="1" w:styleId="12">
    <w:name w:val="Char Char Char Char Char Char Char"/>
    <w:basedOn w:val="1"/>
    <w:qFormat/>
    <w:uiPriority w:val="0"/>
    <w:rPr>
      <w:rFonts w:eastAsia="仿宋_GB2312"/>
      <w:sz w:val="30"/>
      <w:szCs w:val="20"/>
    </w:rPr>
  </w:style>
  <w:style w:type="paragraph" w:customStyle="1" w:styleId="13">
    <w:name w:val="Char1"/>
    <w:basedOn w:val="1"/>
    <w:qFormat/>
    <w:uiPriority w:val="0"/>
    <w:pPr>
      <w:tabs>
        <w:tab w:val="left" w:pos="3240"/>
      </w:tabs>
      <w:spacing w:line="30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NormalCharacter"/>
    <w:qFormat/>
    <w:uiPriority w:val="0"/>
  </w:style>
  <w:style w:type="character" w:customStyle="1" w:styleId="17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14</Pages>
  <Words>1087</Words>
  <Characters>6199</Characters>
  <Lines>51</Lines>
  <Paragraphs>14</Paragraphs>
  <TotalTime>148</TotalTime>
  <ScaleCrop>false</ScaleCrop>
  <LinksUpToDate>false</LinksUpToDate>
  <CharactersWithSpaces>7272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2021-09-15T01:04:00Z</dcterms:created>
  <dc:creator>张磊</dc:creator>
  <cp:lastModifiedBy>Lenovo</cp:lastModifiedBy>
  <cp:lastPrinted>2021-09-01T01:55:00Z</cp:lastPrinted>
  <dcterms:modified xsi:type="dcterms:W3CDTF">2021-09-30T02:23:43Z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14E6F1F0BFB140289F0D138A038F212C</vt:lpwstr>
  </property>
</Properties>
</file>