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color w:val="000000"/>
          <w:sz w:val="44"/>
          <w:szCs w:val="44"/>
        </w:rPr>
        <w:t>关于枣庄市市中区2021年预算执行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color w:val="000000"/>
          <w:sz w:val="44"/>
          <w:szCs w:val="44"/>
        </w:rPr>
        <w:t>情况和2022年预算草案的报告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Times New Roman" w:hAnsi="Times New Roman" w:eastAsia="楷体_GB2312" w:cs="Times New Roman"/>
          <w:color w:val="000000"/>
        </w:rPr>
      </w:pPr>
      <w:r>
        <w:rPr>
          <w:rFonts w:hint="default" w:ascii="Times New Roman" w:hAnsi="Times New Roman" w:eastAsia="楷体_GB2312" w:cs="Times New Roman"/>
          <w:color w:val="000000"/>
        </w:rPr>
        <w:t xml:space="preserve">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  <w:t>——</w:t>
      </w:r>
      <w:r>
        <w:rPr>
          <w:rFonts w:hint="default" w:ascii="Times New Roman" w:hAnsi="Times New Roman" w:eastAsia="楷体_GB2312" w:cs="Times New Roman"/>
          <w:b/>
          <w:bCs/>
          <w:color w:val="000000"/>
          <w:spacing w:val="12"/>
          <w:sz w:val="32"/>
          <w:szCs w:val="32"/>
        </w:rPr>
        <w:t>20</w:t>
      </w:r>
      <w:r>
        <w:rPr>
          <w:rFonts w:hint="default" w:ascii="Times New Roman" w:hAnsi="Times New Roman" w:eastAsia="楷体_GB2312" w:cs="Times New Roman"/>
          <w:b/>
          <w:bCs/>
          <w:color w:val="000000"/>
          <w:spacing w:val="14"/>
          <w:sz w:val="32"/>
          <w:szCs w:val="32"/>
        </w:rPr>
        <w:t>22年1月25日在枣庄市市中区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  <w:t xml:space="preserve">    第十三届人民代表大会第一次会议上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rPr>
          <w:rFonts w:hint="default" w:ascii="Times New Roman" w:hAnsi="Times New Roman" w:eastAsia="黑体" w:cs="Times New Roman"/>
          <w:b/>
          <w:bCs/>
          <w:color w:val="000000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rPr>
          <w:rFonts w:hint="default" w:ascii="Times New Roman" w:hAnsi="Times New Roman" w:eastAsia="黑体" w:cs="Times New Roman"/>
          <w:b/>
          <w:bCs/>
          <w:snapToGrid w:val="0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snapToGrid w:val="0"/>
          <w:color w:val="000000"/>
          <w:sz w:val="32"/>
          <w:szCs w:val="32"/>
        </w:rPr>
        <w:t>区财政局局长  孙坤祥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rPr>
          <w:rFonts w:hint="default" w:ascii="Times New Roman" w:hAnsi="Times New Roman" w:eastAsia="仿宋_GB2312" w:cs="Times New Roman"/>
          <w:b/>
          <w:bCs/>
          <w:snapToGrid w:val="0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napToGrid w:val="0"/>
          <w:color w:val="000000"/>
          <w:sz w:val="32"/>
          <w:szCs w:val="32"/>
        </w:rPr>
        <w:t>各位代表：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snapToGrid w:val="0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napToGrid w:val="0"/>
          <w:color w:val="000000"/>
          <w:sz w:val="32"/>
          <w:szCs w:val="32"/>
        </w:rPr>
        <w:t>我受区人民政府委托，向大会报告市中区2021年预算执行情况和2022年预算草案，请予审议，并请区政协委员和列席会议的同志提出意见。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snapToGrid w:val="0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snapToGrid w:val="0"/>
          <w:color w:val="000000"/>
          <w:sz w:val="32"/>
          <w:szCs w:val="32"/>
        </w:rPr>
        <w:t>一、2021年预算执行情况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napToGrid w:val="0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napToGrid w:val="0"/>
          <w:color w:val="000000"/>
          <w:sz w:val="32"/>
          <w:szCs w:val="32"/>
        </w:rPr>
        <w:t>2021年，在区委的坚强领导下，在区人大、区政协的监督支持下，全区上下认真学习贯彻党的十九大及十九届四中、五中、六中全会精神，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</w:rPr>
        <w:t>紧紧围绕“先把市中经济搞上去”目标，深入贯彻落实“工业强区、产业兴区”战略部署</w:t>
      </w:r>
      <w:r>
        <w:rPr>
          <w:rFonts w:hint="default" w:ascii="Times New Roman" w:hAnsi="Times New Roman" w:eastAsia="仿宋_GB2312" w:cs="Times New Roman"/>
          <w:b/>
          <w:bCs/>
          <w:snapToGrid w:val="0"/>
          <w:color w:val="000000"/>
          <w:sz w:val="32"/>
          <w:szCs w:val="32"/>
        </w:rPr>
        <w:t>，不断深化财税改革，着力提高财政运行质量，全区预算执行总体平稳。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  <w:t>（一）一般公共预算执行情况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2021年，全区一般公共预算收入258988万元，完成调整预算的101.86%，较上年增长12.05%，加上返还性收入、转移支付收入、上解上级支出等结算补助17919万元，上年结转资金1256万元，调入资金51366万元，扣除一般债务自有财力还本支出1284万元，结转下年支出21938万元，全区一般公共预算财力实现306307万元。全区一般公共预算支出完成306307万元，较上年下降2.11%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区级一般公共预算收入201265万元，完成调整预算的101%，较上年增长11.1%。主要收入项目完成情况：增值税39358万元，占调整预算的95.29%；企业所得税7679万元，占调整预算的148.47%；个人所得税4806万元，占调整预算的116.31%；资源税7039万元，占调整预算的210.5%；城市维护建设税6572万元，占调整预算的83%；房产税3909万元，占调整预算的89.29%；印花税1872万元，占调整预算的95.41%；城镇土地使用税7676万元，占调整预算的91.07%；土地增值税11337万元，占调整预算的45.82%；车船税21596万元，占调整预算的98.36%；契税36838万元，占调整预算的118.2%；非税收入完成51264万元，占调整预算的119.42%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区级一般公共预算支出255833万元，完成调整预算的109.70%，较上年下降5.66%。主要支出项目完成情况：一般公共服务22415万元，占调整预算的106.2%；国防158万元，占调整预算的100%；公共安全18552万元，占调整预算的196.88%；教育74277万元，占调整预算的103.36%；科学技术709万元</w:t>
      </w:r>
      <w:r>
        <w:rPr>
          <w:rFonts w:hint="eastAsia" w:eastAsia="仿宋_GB2312" w:cs="Times New Roman"/>
          <w:b/>
          <w:bCs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占调整预算的109.58%；文化旅游体育与传媒1943万元，占调整预算的101.78%；社会保障和就业61487万元，占调整预算的98.50%；卫生健康27008万元，占调整</w:t>
      </w:r>
      <w:r>
        <w:rPr>
          <w:rFonts w:hint="default" w:ascii="Times New Roman" w:hAnsi="Times New Roman" w:eastAsia="仿宋_GB2312" w:cs="Times New Roman"/>
          <w:b/>
          <w:bCs/>
          <w:color w:val="000000"/>
          <w:w w:val="95"/>
          <w:sz w:val="32"/>
          <w:szCs w:val="32"/>
        </w:rPr>
        <w:t>预算的98.74%；节能环保2179万元，占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调整</w:t>
      </w:r>
      <w:r>
        <w:rPr>
          <w:rFonts w:hint="default" w:ascii="Times New Roman" w:hAnsi="Times New Roman" w:eastAsia="仿宋_GB2312" w:cs="Times New Roman"/>
          <w:b/>
          <w:bCs/>
          <w:color w:val="000000"/>
          <w:w w:val="95"/>
          <w:sz w:val="32"/>
          <w:szCs w:val="32"/>
        </w:rPr>
        <w:t>预算的106.55%；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城乡社区9673万元，占调整预算的213.11%；农林水8195万元，占调整预算的115.37%；交通运输2590万元，占调整预算的143.57%；资源勘探信息1829万元，占调整预算的178.79%；自然资源海洋气象1066万元，占调整预算的109.45%；商业服务业等1087万元，占调整预算的197.28%；住房保障4561万元，占调整预算的103.56%；灾害防治及应急管理3333万元，占调整预算的293.66%。由于年终上级转移支付增加，造成公共安全、城乡社区、交通运输、资源勘探信息、商业服务业、灾害防治及应急管理等部分支出较调整预算变化较大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区级一般公共预算收入201265万元，加上返还性收入、转移支付收入、上解上级支出及调入资金等结算补助54568万元，区级一般公共预算财力实现255833万元。区级一般公共预算支出255833万元，区级一般公共预算收支平衡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需要说明的是，2021年财政部修改会计核算办法，由权责发生制改为收付实现制核算，年终部分专项转移支付结转至2022年支出，形成结转下年支出数额较大。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  <w:t>（二）政府性基金预算执行情况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11" w:firstLineChars="200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w w:val="95"/>
          <w:sz w:val="32"/>
          <w:szCs w:val="32"/>
        </w:rPr>
        <w:t>区级政府性基金预算收入472296万元，完成调整预算的107.94%，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加上政府性基金补助及置换债券转贷收入、新增专项债券转贷收入等转移性收入101289万元，区级政府性基金总财力573585万元。区级政府性基金支出504820万元，完成调整预算的107.44%，加上政府性基金转移支付、调出资金、专项债务还本支出等转移性支出66524万元，结转下年支出2241万元，区级政府性基金总支出573585万元，区级政府性基金收支平衡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  <w:t>（三）区级国有资本经营预算执行情况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 xml:space="preserve">区级国有资本经营预算收入33664万元，完成调整预算的124.62%，加上转移性收入535万元，区级国有资本经营预算财力实现34199万元。区级国有资本经营预算支出8293万元，完成调整预算的43.62%，加上调出资金25445万元，结转下年支出461万元，区级国有资本经营预算总支出34199万元，区级国有资本经营预算收支平衡。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  <w:t>（四）区级社会保险基金预算执行情况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区级社会保险基金预算总收入66948万元，较上年增长41.71%。社会保险基金预算总支出45435万元，较上年增长9.83%。本年收支结余21513万元，年末滚存结余69446万元。社会保险基金预算收入较上年增长幅度较大，主要是受落实2021年被征地农民社会保险金因素影响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各位代表，需要说明的是，上述预算执行情况待上级决算批复后，数据可能变动，届时将向区人大常委会报告财政决算有关情况。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rPr>
          <w:rFonts w:hint="default" w:ascii="Times New Roman" w:hAnsi="Times New Roman" w:eastAsia="黑体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color w:val="000000"/>
          <w:sz w:val="32"/>
          <w:szCs w:val="32"/>
        </w:rPr>
        <w:t>二、贯彻落实区十二届人大五次会议决议情况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rPr>
          <w:rFonts w:hint="default" w:ascii="Times New Roman" w:hAnsi="Times New Roman" w:eastAsia="微软雅黑" w:cs="Times New Roman"/>
          <w:b/>
          <w:bCs/>
          <w:color w:val="000000"/>
          <w:kern w:val="0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kern w:val="0"/>
          <w:sz w:val="32"/>
          <w:szCs w:val="32"/>
        </w:rPr>
        <w:t>（一）扎实做好收支管理，保障财政平稳运行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4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</w:rPr>
        <w:t>收入方面，立足于开源挖潜。一是努力抓好收入征管。进一步发挥税收保障信息平台和虚拟金库作用，不断完善税收协同共治管理机制，主动协调税务部门，及时做好收入分析预测，充分调动各镇街积极性，加强问题研究，形成合力对税收征管薄弱环节精准发力，做到应收尽收、挖潜增收。二是加快土地运作力度。强化财政与自然资源、住建等部门间的联动，及时跟进土地交易环节，建立宗地招拍挂动态管理台账，加强部门间账目核对，加快土地出让进度。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2021年全区实现一般公共预算收入25.9亿元，同比增长12.05%；税收收入占财政收入的比重达到78.3%；土地出让收入实现43.1亿元，同比增长107.67%；全区综合财力实现81.99亿元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</w:rPr>
        <w:t>。三是争取上级转移支付成效显著。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2021年，全区争取上级各项转移支付9.46亿元，新增专项债券资金5.3亿元，同时又争取到2022年提前批新增专项债券额度9亿元，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</w:rPr>
        <w:t>坚定有力保障了全区各项重点事业发展。支出方面，着眼于节支裕民。一是优化财政支出结构，坚持“有保有压”，努力压减非重点支出，将节省的资金用于支持重点战略实施、重大改革推进和重点领域建设。二是把政府“过紧日子”作为长期坚持的方针，进一步压减一般性支出，持续压减区直部门日常公用经费和业务类项目支出。三是加快预算执行进度，硬化预算约束，除突发应急等特殊性支出外，原则上不予追加预算，切实增强预算严肃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4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  <w:t>（二）落实积极财政政策，支持经济高质量发展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</w:rPr>
        <w:t>一是落实各项惠企政策。持续推进减税降费，对棚户区改造等保障性住房项目城市基础设施配套费予以审核、减免。及时兑现区级奖励政策，为正凯新材料等10家外来优秀投资企业、8位招商功臣兑现区级奖励资金140万元；为“市中区功勋企业家”、“市中区优秀企业家”兑付奖励资金596万元；为雅博科技、上诚能源等企业分别兑现上市股改奖励资金420万元、外资奖励资金164万元。二是积极为企业争取各项扶持资金。联合有关部门为正凯新材料、天一实业、鲁源电器、泰和水处理等多家企业申报了省级智能化技改奖补资金、工业经济高质量发展资金、省级商贸发展和市场开拓资金、省级工业转型发展资金等共计4351万元，比上年度增加了1582万元，进一步巩固了全区财源实力基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</w:rPr>
        <w:t>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4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  <w:t>（三）突出理财为民理念，切实保障和改善民生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</w:rPr>
        <w:t>坚持以人民为中心，时刻把群众的安危冷暖放在心上，2021年全区民生支出22.11亿元，占公共财政支出的72.2%。继续提高居民基本医疗保险筹资标准，将政府补助标准提高到每人每年580元。拨付城乡医疗救助资金1204万元，用于对城乡低保、特困供养、重度残疾人、建档立卡贫困人口等特殊群体的医疗救助。拨付就业创业资金752万元，全力保障就业困难人员、退役军人、高校毕业生等重点群体就业。拨付资金1974万元，加快落实职业培训、以工代训、职业技能鉴定等补贴政策。持续加大对各类困难群体基本生活救助保障力度，将城乡低保、城乡特困、孤儿等救助保障标准再提高10%，全年新增支出近700万元。以促进优质教育资源共享为目标，投入资金4567万元保障学校建设工程项目顺利实施，十六中北校等8所学校投入使用，拨付9800万元用于保障职业中专学校迁建项目。持续加大资金投入，提高医疗服务水平，在全省率先开展医保经办服务标准化“三级联创”。</w:t>
      </w:r>
      <w:r>
        <w:rPr>
          <w:rFonts w:hint="default" w:ascii="Times New Roman" w:hAnsi="Times New Roman" w:cs="Times New Roman"/>
          <w:color w:val="000000"/>
        </w:rPr>
        <w:t xml:space="preserve"> 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</w:rPr>
        <w:t>抓实抓细常态化疫情防控，累计拨付新冠疫情防控经费2200万元，保障全区医疗物资储备、核酸检测、疫苗接种等工作，</w:t>
      </w:r>
      <w:r>
        <w:rPr>
          <w:rFonts w:eastAsia="仿宋_GB2312"/>
          <w:b/>
          <w:color w:val="000000"/>
          <w:sz w:val="32"/>
          <w:szCs w:val="32"/>
        </w:rPr>
        <w:t>全区疫情防控成果显著，</w:t>
      </w:r>
      <w:r>
        <w:rPr>
          <w:rFonts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在全市率先建成专业医学观察点</w:t>
      </w:r>
      <w:r>
        <w:rPr>
          <w:rFonts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，完成</w:t>
      </w:r>
      <w:r>
        <w:rPr>
          <w:rFonts w:hint="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106.5</w:t>
      </w:r>
      <w:r>
        <w:rPr>
          <w:rFonts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万人次“应检尽检”、</w:t>
      </w:r>
      <w:r>
        <w:rPr>
          <w:rFonts w:hint="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122.2</w:t>
      </w:r>
      <w:r>
        <w:rPr>
          <w:rFonts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万剂次疫苗接种。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</w:rPr>
        <w:t>全面提升公共文化服务效能，推进“周六剧场”等文化活动深入开展，11个综合文化站和169个基层综合文化服务中心全部免费对群众开放。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baseline"/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  <w:t>（四）多渠道筹集资金，支持重点工程建设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</w:rPr>
        <w:t>一是充分利用好地方政府专项债券，有效扩大投资。全区争取新增专项债券5.3亿元，重点用于棚户区改造、职业中等专业学校迁建、污水处理等项目，缓解预算财力投入不足的压力。二是继续坚持将道路建设摆在优先位置，投入资金21398万元，确保了西安路、人民路等5条西进道路建成通车，世纪大道主线具备通车条件，新区“四横两纵”主干路网全面形成。三是不断推进城市西进战略实施，投入资金9186万元，保障朱子埠支流综合治理项目加快实施，枣庄市人民医院、省国欣颐养健康集团枣庄医院开工建设。四是下大力气加速老城提档升级，投入资金23370万元，推动48个老旧小区改造全面完工，文化东路等9条老旧热力一级管网完成改造，振兴路公铁立交桥建成通车，惠民铁路专用线实现旧线停运、新线运营，困扰群众出行数十年的铁路穿城问题彻底解决。五是支持乡村建设提升，积极统筹资金用于西王庄镇希望社区项目建设，完善配套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lang w:val="en"/>
        </w:rPr>
        <w:t>基础设施，提升了群众幸福指数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  <w:t>（五）</w:t>
      </w:r>
      <w:r>
        <w:rPr>
          <w:rFonts w:hint="default" w:ascii="Times New Roman" w:hAnsi="Times New Roman" w:eastAsia="楷体_GB2312" w:cs="Times New Roman"/>
          <w:b/>
          <w:bCs/>
          <w:color w:val="000000"/>
          <w:kern w:val="0"/>
          <w:sz w:val="32"/>
          <w:szCs w:val="32"/>
        </w:rPr>
        <w:t>推进财税管理改革，全面提升财政管理能力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</w:rPr>
        <w:t>一是深化财政管理体制改革。持续强化预算绩效管理工作，严格按照省市财政部门要求，开展扶贫领域及重点项目绩效评价工作，全面启动预算单位绩效评价及重点项目全生命周期的绩效评价工作。二是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36"/>
          <w:sz w:val="32"/>
          <w:szCs w:val="32"/>
        </w:rPr>
        <w:t>政府采购和投资评审效果凸显。2021年全区实际政府采购规模达7.06亿元，资金节约率为1.22%；落实《政府采购促进中小企业发展管理办法》，全区政府采购中小企业中标率为88.02%；财政投资评审累计评审项目130个，资金规模达25.78亿元，审减率为11.7%。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</w:rPr>
        <w:t>三是政府性债务管理不断优化。严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格落实政府债务限额管理，持续有效降低政府债务率，2021年全区政府债务率控制在合理范围；政府性债务管理工作稳步提升，多措并举积极化解政府隐性债务，政</w:t>
      </w:r>
      <w:r>
        <w:rPr>
          <w:rFonts w:hint="default" w:ascii="Times New Roman" w:hAnsi="Times New Roman" w:eastAsia="仿宋_GB2312" w:cs="Times New Roman"/>
          <w:b/>
          <w:bCs/>
          <w:color w:val="000000"/>
          <w:spacing w:val="6"/>
          <w:sz w:val="32"/>
          <w:szCs w:val="32"/>
        </w:rPr>
        <w:t>府债务风险趋于合理区间，牢牢守住不发生系统性债务风险底线。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各位代表，过去的一年，全区财税部门广大干部职工尽职履责，担当作为，在多个领域取得了一定成绩，但仍面临着许多困难和问题。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</w:rPr>
        <w:t>收入方面，复杂多变的经济形势对尚处于转型期的我区财政收入影响较大，财政持续增收仍存在压力；收入征管的薄弱环节依然存在，部分镇街财源基础仍然薄弱。支出方面，“三保”兜底需求、社会民生保障、政府债务本息偿还、行政事业单位养老金、乡村振兴战略以及重点项目刚性支出迅猛增长，财政收支矛盾仍然突出。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</w:rPr>
        <w:t>此外，财税管理体制改革仍需进一步推进，综合治税力度需进一步加大；一些部门单位“过紧日子”的思想树得不牢，预算绩效管理和财政监督力度还有待加强等等。对此，我们将采取积极有效措施，逐步予以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黑体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color w:val="000000"/>
          <w:sz w:val="32"/>
          <w:szCs w:val="32"/>
        </w:rPr>
        <w:t>三、2022年预算草案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default" w:ascii="Times New Roman" w:hAnsi="Times New Roman" w:eastAsia="黑体" w:cs="Times New Roman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根据中央、省、市关于2022年财政预算安排要求，全区预算编制总的指导思想是：</w:t>
      </w:r>
      <w:r>
        <w:rPr>
          <w:rFonts w:hint="default" w:ascii="Times New Roman" w:hAnsi="Times New Roman" w:eastAsia="黑体" w:cs="Times New Roman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高举中国特色社会主义伟大旗帜，以习近平新时代中国特色社会主义思想为指导，全面贯彻党的十九大和十九届历次全会精神，深入落实习近平总书记重要讲话精神和视察山东重要指示要求，统筹推进“五位一体”总体布局，协调推进“四个全面”战略布局，坚持稳中求进工作总基调，完整、准确、全面贯彻新发展理念，紧紧围绕“先把经济搞上去、集中精力强工业”这一中心，深入实施“工业强区、产业兴区、城建立区”战略，继续落实积极的财政政策，进一步优化财政支出结构，支持做好民生保障、乡村振兴、工业强区、城市西进、金融赋能等重点工作。同时，稳步推进财税改革，依法规范财政管理，奋力</w:t>
      </w:r>
      <w:r>
        <w:rPr>
          <w:rFonts w:hint="default" w:ascii="Times New Roman" w:hAnsi="Times New Roman" w:eastAsia="黑体" w:cs="Times New Roman"/>
          <w:b/>
          <w:color w:val="000000" w:themeColor="text1"/>
          <w:sz w:val="32"/>
          <w:szCs w:val="32"/>
          <w:highlight w:val="none"/>
          <w:lang w:val="zh-CN"/>
          <w14:textFill>
            <w14:solidFill>
              <w14:schemeClr w14:val="tx1"/>
            </w14:solidFill>
          </w14:textFill>
        </w:rPr>
        <w:t>开创</w:t>
      </w:r>
      <w:r>
        <w:rPr>
          <w:rFonts w:hint="default" w:ascii="Times New Roman" w:hAnsi="Times New Roman" w:eastAsia="黑体" w:cs="Times New Roman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新时代社会主义现代化强区</w:t>
      </w:r>
      <w:r>
        <w:rPr>
          <w:rFonts w:hint="default" w:ascii="Times New Roman" w:hAnsi="Times New Roman" w:eastAsia="黑体" w:cs="Times New Roman"/>
          <w:b/>
          <w:color w:val="000000" w:themeColor="text1"/>
          <w:sz w:val="32"/>
          <w:szCs w:val="32"/>
          <w:highlight w:val="none"/>
          <w:lang w:val="zh-CN"/>
          <w14:textFill>
            <w14:solidFill>
              <w14:schemeClr w14:val="tx1"/>
            </w14:solidFill>
          </w14:textFill>
        </w:rPr>
        <w:t>建设新局面！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</w:rPr>
        <w:t>根据上述指导思想，根据《中华人民共和国预算法》和区委、区政府的总体部署，按照“收入预算实事求是、积极可行”“支出预算统筹兼顾、突出重点”的原则，编制2022年财政预算草案如下：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2022年，根据中央和省、市经济工作会议精神，考虑到收入质量提升、减税降费政策及新冠疫情对经济影响等因素，全区一般公共预算收入按增长6.5%安排。全区一般公共预算收入预计实现275822万元，当年财力预计实现353799万元，全区一般公共预算支出相应安排353799万元，全区一般公共预算收支平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全区“三保”预算编制情况：2022年全区可用于“三保”预算财力为290531万元，按照兜实“保工资、保运转、保基本民生”支出底线原则，2022年全区“三保”预算支出安排252461万元。其中，保工资178244万元，保运转8066万元，保基本民生66151万元。“三保”支出得到全面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  <w:t>（一）区级一般公共预算安排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2022年，区级一般公共预算收入安排214354万元，增长6.5%，当年收入加上结算补助、调入资金及上年结转收入等，区级一般公共预算财力预计312051万元，区级一般公共预算支出相应安排312051万元，区级一般公共预算收支平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  <w:t>（二）区级政府性基金预算安排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2022年，区级政府性基金收入安排535749万元，加上政府性基金补助、置换债券转贷收入及上年结转收入等52930万元，新增地方政府专项债券收入90000万元，区级政府性基金财力预计678679万元。政府性基金支出相应安排570199万元，加上调出资金、上解上级支出、专项债务还本支出等108480万元，区级政府性基金预算总支出678679万元，区级政府性基金预算收支平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  <w:t>（三）区级国有资本经营预算安排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2022年，区级国有资本经营预算收入安排30000万元，主要是国有企业利润收入。国有资本经营预算支出相应安排25407万元，调出资金4593万元，区级国有资本经营预算收支平衡。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  <w:t>（四）区级社会保险基金预算安排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2022年，区级社会保险基金收入安排55260万元，社会保险基金预算支出安排50781万元，加上上年滚存结余69446万元，年终滚存结余73925万元。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  <w:t>（五）区级主要支出项目安排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2022年，区级财政统筹一般公共预算、政府性基金预算及国有资本经营预算三本预算资金，安排主要支出项目如下：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1、区级基本支出安排115856万元。主要包括：在职人员工资津贴、社会保险缴费，离退休人员住房补贴、物业补贴、取暖补贴，区直部门基本公用经费，中小学校生均公用经费等支出。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2、区级社保民生支出安排81529万元。主要包括：城乡居民基本医疗保险，城乡居民养老保险补助，城乡低保，基本公共卫生，基本药物制度，重大公共卫生专项，老年人居民医保减免，优抚，就业补助，医疗救助，残疾人生活补贴，原民办教师、乡村医生、老电影放映员补助，退役士兵安置，乡镇退役士兵公益岗，镇街卫生院工资、行政事业养老金缺口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3、部门项目支出安排情况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一般公共服务及政法等方面安排项目支出29596万元：主要用于人大、政协“两会”，党委政府运行，工青妇团活动，党建组织工作，城市社区为民服务专项，社区工作经费，新闻宣传，网格化社会管理，商贸服务业，市场管理经费，档案馆建设，政法系统专项，公安辅警，员额检察官绩效，扫黑除恶，禁毒专项，执法办案，信访维稳，统战及民族事务，法律援助和普法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城建、交通、环保等方面安排项目支出42857万元：主要用于市政园林管理维护，市容环境卫生，城乡社区管理，污水处理，城乡环境卫生，生活垃圾分类，“雪亮工程”，建筑工程质量监督，图纸审查费，城建项目工程设计费，东西沙河供水维护，东湖公园维护，环境保护，环保执法，清洁生产专项，交通运输，道路建设维护，治超执法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教育科技体育文化方面安排项目支出25107万元：主要用于免学费及助学金，班主任津贴，校长职级制，云课堂，合同制教师劳务费，校车运营，义务教育非寄宿生生活补助，科技交流与合作，科普宣传，文旅推介，旅游发展，冰雪项目，群众文化和体育，体校建设运行，“三馆”免费开放，文物保护，职业教育，干部培训等。另外，通过教育专户安排资金用于改善办学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农业发展方面安排项目支出7828万元：主要用于农技推广及产业发展，秸秆综合利用，耕地质量保护，农村饮水安全，水库除险加固，水土保持，林业专项，动物防疫及技术推广，农机购置补贴，林业实用技术培训，农产品质量安全，“三品一标”认证，农业综合开发，农业信贷风险补偿，美丽河湖创建，县域节水型城市创建，水库移民等。上述资金以上级专项资金为主，区级部分涉农资金按照上级要求统筹整合，统一安排至乡村振兴重大专项资金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其他方面安排业务类支出9697万元：主要用于人才工程，食品安全，市场监督管理，安全生产，专项消防队员补助，民政事务，自然资源利用与保护，破产企业人员托管，企业股改奖励，“新三板”挂牌奖励，国有资产管理，灾害民生综合保险，福彩体彩项目，公共租赁住房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4、预备费及部分重点支出方面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主要是按照《预算法》要求，预备费安排9000万元，预留增人增资和退休一次性补助等11000万元，政府债券付息31068万元，政府债券还本7026万元，新增专项债券支出90000万元，全区绩效评价及债券发行等费用支出300万元，PPP付费、棚户区改造、解决大班额等政府购买服务项目25538万元，教育发展专项2000万元，乡村振兴战略专项6000万元，开发区改革改制15000万元，科技创新、人才培训培养及引进等2000万元，招商引资（工业强区）7874万元，新旧动能转换5000万元，本土企业技改扶持发展5000万元，城市西进战略实施5000万元，城市更新改造5000万元，区域协调发展5000万元，国有破产企业改革改制20000万元，土地成本性支出350000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rPr>
          <w:rFonts w:hint="default" w:ascii="Times New Roman" w:hAnsi="Times New Roman" w:eastAsia="黑体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color w:val="000000"/>
          <w:sz w:val="32"/>
          <w:szCs w:val="32"/>
        </w:rPr>
        <w:t>四、砥砺奋进，勇毅前行，全力推动财税工作再上新台阶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</w:rPr>
        <w:t>2022年是巩固全面建成小康社会成果、全面建设社会主义现代化国家的重要之年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，是我区奋勇争先、实现高质量发展的攻坚发力之年，我们将认真贯彻区委决策部署，以新的理念谋划财政工作，以新的格局推进财政工作，不断自我加压，提高标杆，全力以赴抓好各项工作落实，为推动全区经济社会高质量发展提供财力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0" w:firstLineChars="196"/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color w:val="000000"/>
          <w:w w:val="100"/>
          <w:sz w:val="32"/>
          <w:szCs w:val="32"/>
        </w:rPr>
        <w:t>（一）大胆创新，敢想敢干，在资金运筹方式上求突破。</w:t>
      </w:r>
      <w:r>
        <w:rPr>
          <w:rFonts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牢固树立平台思维，大力实施金融赋能，坚持“用资产换资金、用存量换增量”，高效推进区级投融资平台建设，整合行政事业单位经营性资产、国企资产和城市基础设施资源，加大有形资产注入，着力打造2家</w:t>
      </w:r>
      <w:r>
        <w:rPr>
          <w:rFonts w:hint="eastAsia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AA</w:t>
      </w:r>
      <w:r>
        <w:rPr>
          <w:rFonts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主体信用评级平台公司</w:t>
      </w:r>
      <w:r>
        <w:rPr>
          <w:rFonts w:hint="eastAsia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eastAsia="仿宋_GB2312"/>
          <w:b/>
          <w:color w:val="000000"/>
          <w:sz w:val="32"/>
          <w:szCs w:val="32"/>
        </w:rPr>
        <w:t>形成平台规模效应</w:t>
      </w:r>
      <w:r>
        <w:rPr>
          <w:rFonts w:hint="eastAsia" w:eastAsia="仿宋_GB2312"/>
          <w:b/>
          <w:color w:val="000000"/>
          <w:sz w:val="32"/>
          <w:szCs w:val="32"/>
        </w:rPr>
        <w:t>，</w:t>
      </w:r>
      <w:r>
        <w:rPr>
          <w:rFonts w:eastAsia="仿宋_GB2312"/>
          <w:b/>
          <w:color w:val="000000"/>
          <w:sz w:val="32"/>
          <w:szCs w:val="32"/>
        </w:rPr>
        <w:t>一方面用于扶持本地产业，另一方面</w:t>
      </w:r>
      <w:r>
        <w:rPr>
          <w:rFonts w:hint="eastAsia" w:eastAsia="仿宋_GB2312"/>
          <w:b/>
          <w:color w:val="000000"/>
          <w:sz w:val="32"/>
          <w:szCs w:val="32"/>
        </w:rPr>
        <w:t>加大</w:t>
      </w:r>
      <w:r>
        <w:rPr>
          <w:rFonts w:eastAsia="仿宋_GB2312"/>
          <w:b/>
          <w:color w:val="000000"/>
          <w:sz w:val="32"/>
          <w:szCs w:val="32"/>
        </w:rPr>
        <w:t>资金融取</w:t>
      </w:r>
      <w:r>
        <w:rPr>
          <w:rFonts w:hint="eastAsia" w:eastAsia="仿宋_GB2312"/>
          <w:b/>
          <w:color w:val="000000"/>
          <w:sz w:val="32"/>
          <w:szCs w:val="32"/>
        </w:rPr>
        <w:t>力度</w:t>
      </w:r>
      <w:r>
        <w:rPr>
          <w:rFonts w:hint="eastAsia" w:eastAsia="仿宋_GB2312"/>
          <w:b/>
          <w:color w:val="000000"/>
          <w:sz w:val="32"/>
          <w:szCs w:val="32"/>
          <w:lang w:eastAsia="zh-CN"/>
        </w:rPr>
        <w:t>，</w:t>
      </w:r>
      <w:r>
        <w:rPr>
          <w:rFonts w:hint="eastAsia" w:eastAsia="仿宋_GB2312"/>
          <w:b/>
          <w:color w:val="000000"/>
          <w:sz w:val="32"/>
          <w:szCs w:val="32"/>
          <w:lang w:val="en-US" w:eastAsia="zh-CN"/>
        </w:rPr>
        <w:t>用作</w:t>
      </w:r>
      <w:r>
        <w:rPr>
          <w:rFonts w:eastAsia="仿宋_GB2312"/>
          <w:b/>
          <w:color w:val="000000"/>
          <w:sz w:val="32"/>
          <w:szCs w:val="32"/>
        </w:rPr>
        <w:t>投资项目的资本金，实现金融赋能。同时，创新项目招引理念，改变过去仅给土地、给政策的原始招商模式，探索利用全区集聚起来的资产资源以及融取的大量资金作为资本，招引大型产业项目落地我区，并以多种形式投资入股，以“税收+分红”形式形成收益，再用于扶持本地实体产业、金融业，逐步完善城市基础条件，从而更加有利于项目招引，形成良性发展闭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0" w:firstLineChars="196"/>
        <w:rPr>
          <w:rFonts w:hint="default" w:ascii="Times New Roman" w:hAnsi="Times New Roman" w:eastAsia="楷体_GB2312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  <w:t>（二）</w:t>
      </w:r>
      <w:r>
        <w:rPr>
          <w:rFonts w:hint="default" w:ascii="Times New Roman" w:hAnsi="Times New Roman" w:eastAsia="楷体_GB2312" w:cs="Times New Roman"/>
          <w:b/>
          <w:color w:val="000000"/>
          <w:sz w:val="32"/>
          <w:szCs w:val="32"/>
        </w:rPr>
        <w:t>开源节流，强化管理，在实施增收节支上求突破。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一是全力以赴抓收入。财税部门要积极开展税源调查，加强重点行业和重点税源的动态监管，优化外来施工企业涉税管理，规范建筑安装房地产行业税源管理等，抓实各环节管控。各非税收入执收部门全力挖掘收入潜力，做到应缴尽缴。二是千方百计强管理。深入推进预算绩效管理，增强预算安排精准度，提高财政资金使用效益，绩效不达标的项目相应核减支出；综合运用国库集中支付、政府投资评审、政府采购等管理手段，确保预算执行严格到位，财政资金安全有效运行；坚决做到一般性支出和非急需非刚性支出可压尽压、应压尽压；坚决落实“过紧日子”要求，对非重点项目能缓则缓，将有限的财政资金用到刀刃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rPr>
          <w:rFonts w:hint="default" w:ascii="Times New Roman" w:hAnsi="Times New Roman" w:eastAsia="楷体_GB2312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color w:val="000000"/>
          <w:sz w:val="32"/>
          <w:szCs w:val="32"/>
        </w:rPr>
        <w:t>（三）强化帮扶，优化服务，在积聚发展潜力上求突破。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全力支持项目招引工作，为全面落实工业强区战略积聚发展潜力提供坚实保障。一是保障园区改革发展。坚持“高标准、严要求”加强园区内公共基础设施建设，既满足当前需要，又适度超前；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</w:rPr>
        <w:t>大力支持开发区体制机制改革创新，进一步完善与开放合作、创新创业相挂钩的财政激励和奖补政策机制，增强园区发展活力。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二是持续优化营商环境。切实增强服务意识，精准实施“一企一策”帮扶，对投资有回报、产品有市场、企业有利润、员工有收入、政府有税收、环境有改善的企业，加大财政支持力度，促进企业发展；对发展有潜力、暂时有困难的企业，也充分利用现有资源和扶持政策，指导企业申请各项奖励补贴资金等等，帮助其尽快走出困境，逐步形成互帮互助的良好营商生态格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0" w:firstLineChars="196"/>
        <w:rPr>
          <w:rFonts w:hint="default" w:ascii="Times New Roman" w:hAnsi="Times New Roman" w:eastAsia="楷体_GB2312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  <w:t>（四）</w:t>
      </w:r>
      <w:r>
        <w:rPr>
          <w:rFonts w:hint="default" w:ascii="Times New Roman" w:hAnsi="Times New Roman" w:eastAsia="楷体_GB2312" w:cs="Times New Roman"/>
          <w:b/>
          <w:color w:val="000000"/>
          <w:sz w:val="32"/>
          <w:szCs w:val="32"/>
        </w:rPr>
        <w:t>有保有压，守牢底线，在落实民生保障上求突破。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</w:rPr>
        <w:t>一是牢牢守住“三保”支出底线，压减一般性支出，从严控制“三公”经费，优先保障工资性支出、基本民生、基本运转，特别是民生刚性需求。</w:t>
      </w:r>
      <w:r>
        <w:rPr>
          <w:rFonts w:hint="default" w:ascii="Times New Roman" w:hAnsi="Times New Roman" w:eastAsia="仿宋_GB2312" w:cs="Times New Roman"/>
          <w:b/>
          <w:color w:val="000000"/>
          <w:w w:val="100"/>
          <w:sz w:val="32"/>
          <w:szCs w:val="32"/>
        </w:rPr>
        <w:t>二是</w:t>
      </w:r>
      <w:r>
        <w:rPr>
          <w:rFonts w:hint="default" w:ascii="Times New Roman" w:hAnsi="Times New Roman" w:eastAsia="仿宋_GB2312" w:cs="Times New Roman"/>
          <w:b/>
          <w:bCs/>
          <w:color w:val="000000"/>
          <w:w w:val="100"/>
          <w:sz w:val="32"/>
          <w:szCs w:val="32"/>
        </w:rPr>
        <w:t>继续推进城乡居民基本养老、医疗保险等重点社保项目扩面提标，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加大基本公共卫生服务财政投入力度，稳步提高城乡居民医保财政补助标准，落实好大病保险政策。三是强化教育投入保障，持续优化教育资源配置，进一步改善农村中小学办学条件。四是保障就业政策落实，综合利用财政奖补、贴息等措施，帮助城乡困难群体、高校毕业生等重点人群就业创业。五是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</w:rPr>
        <w:t>推进乡村振兴战略实施，加大现代农业扶持引导力度，持续推进“美丽乡村”建设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。六是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</w:rPr>
        <w:t>加快城市西进步伐，推进S103济枣线市中段改建等工程全面建设，推动永安高铁新区及枣庄经济开发区产城融合发展。七是持续加大公共基础设施投入保障力度，支持老旧小区整治等项目建设，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使人民群众真切地感受到生产生活条件的改善，提升人民群众的获得感、幸福感。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  <w:t>（五）着力完善，纵深推进，在深化财政改革上求突破。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</w:rPr>
        <w:t>一是深化预算管理制度改革。加强财政资源统筹，增强财政调控能力；强化预算约束和绩效管理，不断提升财政资源配置效率和资金使用效益；加快推进财政事权和支出责任划分，进一步理顺区与镇街收入划分，调动各级各方面组织收入积极性，增强公共服务保障能力。二是深化财政投入方式改革。实施更加积极的财政政策，运用引导基金、政府和社会资本合作、贷款贴息、保费补贴等市场化政策工具，打好多种政策“组合拳”，切实发挥财政资金“四两拨千斤”的作用。三是深化政府采购和投资评审改革。持续强化政府采购管理，不断规范政府采购工作流程，推进政府购买公共服务工作深入开展。进一步健全完善财政投资评审程序及方式，提升财政投资评审的效率和效益。四是严格执行中央和省、市政策要求，完善政府债务管理制度，严控严管各级各部门的举债行为；统筹政府各类资产资源，有序化解政府债务，持续降低政府债务风险等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0" w:firstLineChars="196"/>
        <w:textAlignment w:val="auto"/>
        <w:rPr>
          <w:rFonts w:hint="default" w:ascii="Times New Roman" w:hAnsi="Times New Roman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各位代表！新的一年财政工作面临的任务更加艰巨，我们肩负的责任也更加重大，但我们有信心，也有决心在区委的正确领导下，在区人大、区政协的监督支持下，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勇担使命、砥砺前行，锚定目标、拼搏实干，奋力开创新时代社会主义现代化强区建设新局面！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11" w:firstLineChars="196"/>
        <w:textAlignment w:val="auto"/>
        <w:rPr>
          <w:rFonts w:hint="default" w:ascii="Times New Roman" w:hAnsi="Times New Roman" w:cs="Times New Roman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default" w:ascii="Times New Roman" w:hAnsi="Times New Roman" w:cs="Times New Roma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644" w:right="1644" w:bottom="1644" w:left="1644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Times New Roman" w:hAnsi="Times New Roman" w:eastAsia="宋体" w:cs="Times New Roman"/>
        <w:sz w:val="32"/>
        <w:szCs w:val="32"/>
        <w:lang w:eastAsia="zh-CN"/>
      </w:rPr>
    </w:pPr>
    <w:r>
      <w:rPr>
        <w:rStyle w:val="6"/>
        <w:rFonts w:hint="eastAsia" w:ascii="Times New Roman" w:hAnsi="Times New Roman" w:cs="Times New Roman"/>
        <w:sz w:val="32"/>
        <w:szCs w:val="32"/>
      </w:rPr>
      <w:t xml:space="preserve">— </w:t>
    </w:r>
    <w:r>
      <w:rPr>
        <w:rFonts w:ascii="Times New Roman" w:hAnsi="Times New Roman" w:cs="Times New Roman"/>
        <w:sz w:val="32"/>
        <w:szCs w:val="32"/>
      </w:rPr>
      <w:fldChar w:fldCharType="begin"/>
    </w:r>
    <w:r>
      <w:rPr>
        <w:rStyle w:val="6"/>
        <w:rFonts w:ascii="Times New Roman" w:hAnsi="Times New Roman" w:cs="Times New Roman"/>
        <w:sz w:val="32"/>
        <w:szCs w:val="32"/>
      </w:rPr>
      <w:instrText xml:space="preserve">PAGE  </w:instrText>
    </w:r>
    <w:r>
      <w:rPr>
        <w:rFonts w:ascii="Times New Roman" w:hAnsi="Times New Roman" w:cs="Times New Roman"/>
        <w:sz w:val="32"/>
        <w:szCs w:val="32"/>
      </w:rPr>
      <w:fldChar w:fldCharType="separate"/>
    </w:r>
    <w:r>
      <w:rPr>
        <w:rStyle w:val="6"/>
        <w:rFonts w:ascii="Times New Roman" w:hAnsi="Times New Roman" w:cs="Times New Roman"/>
        <w:sz w:val="32"/>
        <w:szCs w:val="32"/>
      </w:rPr>
      <w:t>15</w:t>
    </w:r>
    <w:r>
      <w:rPr>
        <w:rFonts w:ascii="Times New Roman" w:hAnsi="Times New Roman" w:cs="Times New Roman"/>
        <w:sz w:val="32"/>
        <w:szCs w:val="32"/>
      </w:rPr>
      <w:fldChar w:fldCharType="end"/>
    </w:r>
    <w:r>
      <w:rPr>
        <w:rStyle w:val="6"/>
        <w:rFonts w:hint="eastAsia" w:ascii="Times New Roman" w:hAnsi="Times New Roman" w:cs="Times New Roman"/>
        <w:sz w:val="32"/>
        <w:szCs w:val="32"/>
      </w:rPr>
      <w:t xml:space="preserve"> </w:t>
    </w:r>
    <w:r>
      <w:rPr>
        <w:rStyle w:val="6"/>
        <w:rFonts w:hint="eastAsia" w:ascii="Times New Roman" w:hAnsi="Times New Roman" w:cs="Times New Roman"/>
        <w:sz w:val="32"/>
        <w:szCs w:val="32"/>
        <w:lang w:eastAsia="zh-CN"/>
      </w:rPr>
      <w:t>—</w:t>
    </w:r>
  </w:p>
  <w:p>
    <w:pPr>
      <w:pStyle w:val="2"/>
      <w:ind w:right="360"/>
      <w:rPr>
        <w:rFonts w:hint="eastAsia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F4D7C"/>
    <w:rsid w:val="0AFC2624"/>
    <w:rsid w:val="14377F23"/>
    <w:rsid w:val="1863750E"/>
    <w:rsid w:val="2EA055A3"/>
    <w:rsid w:val="383202C6"/>
    <w:rsid w:val="4E347267"/>
    <w:rsid w:val="64390D54"/>
    <w:rsid w:val="704F6962"/>
    <w:rsid w:val="717266C9"/>
    <w:rsid w:val="7B287F52"/>
    <w:rsid w:val="7D08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kern w:val="0"/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kern w:val="0"/>
      <w:sz w:val="18"/>
      <w:szCs w:val="18"/>
    </w:rPr>
  </w:style>
  <w:style w:type="character" w:styleId="6">
    <w:name w:val="page number"/>
    <w:basedOn w:val="5"/>
    <w:qFormat/>
    <w:uiPriority w:val="99"/>
  </w:style>
  <w:style w:type="paragraph" w:customStyle="1" w:styleId="7">
    <w:name w:val="方正小标宋简体"/>
    <w:basedOn w:val="1"/>
    <w:qFormat/>
    <w:uiPriority w:val="99"/>
    <w:pPr>
      <w:spacing w:line="600" w:lineRule="exact"/>
      <w:jc w:val="center"/>
    </w:pPr>
    <w:rPr>
      <w:rFonts w:ascii="仿宋" w:hAnsi="仿宋" w:eastAsia="仿宋" w:cs="仿宋"/>
      <w:b/>
      <w:bCs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2022-01-21T08:30:00Z</dcterms:created>
  <dc:creator>dj001</dc:creator>
  <cp:lastModifiedBy>dj002</cp:lastModifiedBy>
  <cp:lastPrinted>2022-01-24T08:32:00Z</cp:lastPrinted>
  <dcterms:modified xsi:type="dcterms:W3CDTF">2022-01-24T08:50:33Z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C83FA64AA5D845C2AD247060CFF6DE70</vt:lpwstr>
  </property>
</Properties>
</file>