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关于枣庄市市中区2021年预算执行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情况和2022年预算草案的报告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</w:rPr>
      </w:pPr>
      <w:r>
        <w:rPr>
          <w:rFonts w:hint="default" w:ascii="Times New Roman" w:hAnsi="Times New Roman" w:eastAsia="楷体_GB2312" w:cs="Times New Roman"/>
          <w:color w:val="000000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12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14"/>
          <w:sz w:val="32"/>
          <w:szCs w:val="32"/>
        </w:rPr>
        <w:t>22年1月25日在枣庄市市中区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 xml:space="preserve">    第十三届人民代表大会第一次会议上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  <w:t>区财政局局长  孙坤祥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  <w:t>我受区人民政府委托，向大会报告市中区2021年预算执行情况和2022年预算草案，请予审议，并请区政协委员和列席会议的同志提出意见。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napToGrid w:val="0"/>
          <w:color w:val="000000"/>
          <w:sz w:val="32"/>
          <w:szCs w:val="32"/>
        </w:rPr>
        <w:t>一、2021年预算执行情况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  <w:t>2021年，在区委的坚强领导下，在区人大、区政协的监督支持下，全区上下认真学习贯彻党的十九大及十九届四中、五中、六中全会精神，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紧紧围绕“先把市中经济搞上去”目标，深入贯彻落实“工业强区、产业兴区”战略部署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z w:val="32"/>
          <w:szCs w:val="32"/>
        </w:rPr>
        <w:t>，不断深化财税改革，着力提高财政运行质量，全区预算执行总体平稳。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（一）一般公共预算执行情况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2021年，全区一般公共预算收入258988万元，完成调整预算的101.86%，较上年增长12.05%，加上返还性收入、转移支付收入、上解上级支出等结算补助17919万元，上年结转资金1256万元，调入资金51366万元，扣除一般债务自有财力还本支出1284万元，结转下年支出21938万元，全区一般公共预算财力实现306307万元。全区一般公共预算支出完成306307万元，较上年下降2.11%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区级一般公共预算收入201265万元，完成调整预算的101%，较上年增长11.1%。主要收入项目完成情况：增值税39358万元，占调整预算的95.29%；企业所得税7679万元，占调整预算的148.47%；个人所得税4806万元，占调整预算的116.31%；资源税7039万元，占调整预算的210.5%；城市维护建设税6572万元，占调整预算的83%；房产税3909万元，占调整预算的89.29%；印花税1872万元，占调整预算的95.41%；城镇土地使用税7676万元，占调整预算的91.07%；土地增值税11337万元，占调整预算的45.82%；车船税21596万元，占调整预算的98.36%；契税36838万元，占调整预算的118.2%；非税收入完成51264万元，占调整预算的119.42%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区级一般公共预算支出255833万元，完成调整预算的109.70%，较上年下降5.66%。主要支出项目完成情况：一般公共服务22415万元，占调整预算的106.2%；国防158万元，占调整预算的100%；公共安全18552万元，占调整预算的196.88%；教育74277万元，占调整预算的103.36%；科学技术709万元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占调整预算的109.58%；文化旅游体育与传媒1943万元，占调整预算的101.78%；社会保障和就业61487万元，占调整预算的98.50%；卫生健康27008万元，占调整</w:t>
      </w:r>
      <w:r>
        <w:rPr>
          <w:rFonts w:hint="default" w:ascii="Times New Roman" w:hAnsi="Times New Roman" w:eastAsia="仿宋_GB2312" w:cs="Times New Roman"/>
          <w:b/>
          <w:bCs/>
          <w:color w:val="000000"/>
          <w:w w:val="95"/>
          <w:sz w:val="32"/>
          <w:szCs w:val="32"/>
        </w:rPr>
        <w:t>预算的98.74%；节能环保2179万元，占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b/>
          <w:bCs/>
          <w:color w:val="000000"/>
          <w:w w:val="95"/>
          <w:sz w:val="32"/>
          <w:szCs w:val="32"/>
        </w:rPr>
        <w:t>预算的106.55%；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城乡社区9673万元，占调整预算的213.11%；农林水8195万元，占调整预算的115.37%；交通运输2590万元，占调整预算的143.57%；资源勘探信息1829万元，占调整预算的178.79%；自然资源海洋气象1066万元，占调整预算的109.45%；商业服务业等1087万元，占调整预算的197.28%；住房保障4561万元，占调整预算的103.56%；灾害防治及应急管理3333万元，占调整预算的293.66%。由于年终上级转移支付增加，造成公共安全、城乡社区、交通运输、资源勘探信息、商业服务业、灾害防治及应急管理等部分支出较调整预算变化较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区级一般公共预算收入201265万元，加上返还性收入、转移支付收入、上解上级支出及调入资金等结算补助54568万元，区级一般公共预算财力实现255833万元。区级一般公共预算支出255833万元，区级一般公共预算收支平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需要说明的是，2021年财政部修改会计核算办法，由权责发生制改为收付实现制核算，年终部分专项转移支付结转至2022年支出，形成结转下年支出数额较大。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（二）政府性基金预算执行情况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1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w w:val="95"/>
          <w:sz w:val="32"/>
          <w:szCs w:val="32"/>
        </w:rPr>
        <w:t>区级政府性基金预算收入472296万元，完成调整预算的107.94%，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加上政府性基金补助及置换债券转贷收入、新增专项债券转贷收入等转移性收入101289万元，区级政府性基金总财力573585万元。区级政府性基金支出504820万元，完成调整预算的107.44%，加上政府性基金转移支付、调出资金、专项债务还本支出等转移性支出66524万元，结转下年支出2241万元，区级政府性基金总支出573585万元，区级政府性基金收支平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（三）区级国有资本经营预算执行情况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区级国有资本经营预算收入33664万元，完成调整预算的124.62%，加上转移性收入535万元，区级国有资本经营预算财力实现34199万元。区级国有资本经营预算支出8293万元，完成调整预算的43.62%，加上调出资金25445万元，结转下年支出461万元，区级国有资本经营预算总支出34199万元，区级国有资本经营预算收支平衡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（四）区级社会保险基金预算执行情况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区级社会保险基金预算总收入66948万元，较上年增长41.71%。社会保险基金预算总支出45435万元，较上年增长9.83%。本年收支结余21513万元，年末滚存结余69446万元。社会保险基金预算收入较上年增长幅度较大，主要是受落实2021年被征地农民社会保险金因素影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各位代表，需要说明的是，上述预算执行情况待上级决算批复后，数据可能变动，届时将向区人大常委会报告财政决算有关情况。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二、贯彻落实区十二届人大五次会议决议情况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微软雅黑" w:cs="Times New Roman"/>
          <w:b/>
          <w:bCs/>
          <w:color w:val="000000"/>
          <w:kern w:val="0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（一）扎实做好收支管理，保障财政平稳运行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收入方面，立足于开源挖潜。一是努力抓好收入征管。进一步发挥税收保障信息平台和虚拟金库作用，不断完善税收协同共治管理机制，主动协调税务部门，及时做好收入分析预测，充分调动各镇街积极性，加强问题研究，形成合力对税收征管薄弱环节精准发力，做到应收尽收、挖潜增收。二是加快土地运作力度。强化财政与自然资源、住建等部门间的联动，及时跟进土地交易环节，建立宗地招拍挂动态管理台账，加强部门间账目核对，加快土地出让进度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2021年全区实现一般公共预算收入25.9亿元，同比增长12.05%；税收收入占财政收入的比重达到78.3%；土地出让收入实现43.1亿元，同比增长107.67%；全区综合财力实现81.99亿元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。三是争取上级转移支付成效显著。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2021年，全区争取上级各项转移支付9.46亿元，新增专项债券资金5.3亿元，同时又争取到2022年提前批新增专项债券额度9亿元，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坚定有力保障了全区各项重点事业发展。支出方面，着眼于节支裕民。一是优化财政支出结构，坚持“有保有压”，努力压减非重点支出，将节省的资金用于支持重点战略实施、重大改革推进和重点领域建设。二是把政府“过紧日子”作为长期坚持的方针，进一步压减一般性支出，持续压减区直部门日常公用经费和业务类项目支出。三是加快预算执行进度，硬化预算约束，除突发应急等特殊性支出外，原则上不予追加预算，切实增强预算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（二）落实积极财政政策，支持经济高质量发展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落实各项惠企政策。持续推进减税降费，对棚户区改造等保障性住房项目城市基础设施配套费予以审核、减免。及时兑现区级奖励政策，为正凯新材料等10家外来优秀投资企业、8位招商功臣兑现区级奖励资金140万元；为“市中区功勋企业家”、“市中区优秀企业家”兑付奖励资金596万元；为雅博科技、上诚能源等企业分别兑现上市股改奖励资金420万元、外资奖励资金164万元。二是积极为企业争取各项扶持资金。联合有关部门为正凯新材料、天一实业、鲁源电器、泰和水处理等多家企业申报了省级智能化技改奖补资金、工业经济高质量发展资金、省级商贸发展和市场开拓资金、省级工业转型发展资金等共计4351万元，比上年度增加了1582万元，进一步巩固了全区财源实力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（三）突出理财为民理念，切实保障和改善民生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坚持以人民为中心，时刻把群众的安危冷暖放在心上，2021年全区民生支出22.11亿元，占公共财政支出的72.2%。继续提高居民基本医疗保险筹资标准，将政府补助标准提高到每人每年580元。拨付城乡医疗救助资金1204万元，用于对城乡低保、特困供养、重度残疾人、建档立卡贫困人口等特殊群体的医疗救助。拨付就业创业资金752万元，全力保障就业困难人员、退役军人、高校毕业生等重点群体就业。拨付资金1974万元，加快落实职业培训、以工代训、职业技能鉴定等补贴政策。持续加大对各类困难群体基本生活救助保障力度，将城乡低保、城乡特困、孤儿等救助保障标准再提高10%，全年新增支出近700万元。以促进优质教育资源共享为目标，投入资金4567万元保障学校建设工程项目顺利实施，十六中北校等8所学校投入使用，拨付9800万元用于保障职业中专学校迁建项目。持续加大资金投入，提高医疗服务水平，在全省率先开展医保经办服务标准化“三级联创”。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抓实抓细常态化疫情防控，累计拨付新冠疫情防控经费2200万元，保障全区医疗物资储备、核酸检测、疫苗接种等工作，</w:t>
      </w:r>
      <w:r>
        <w:rPr>
          <w:rFonts w:eastAsia="仿宋_GB2312"/>
          <w:b/>
          <w:color w:val="000000"/>
          <w:sz w:val="32"/>
          <w:szCs w:val="32"/>
        </w:rPr>
        <w:t>全区疫情防控成果显著，</w:t>
      </w:r>
      <w:r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在全市率先建成专业医学观察点</w:t>
      </w: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，完成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106.5</w:t>
      </w: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万人次“应检尽检”、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122.2</w:t>
      </w: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万剂次疫苗接种。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全面提升公共文化服务效能，推进“周六剧场”等文化活动深入开展，11个综合文化站和169个基层综合文化服务中心全部免费对群众开放。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（四）多渠道筹集资金，支持重点工程建设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充分利用好地方政府专项债券，有效扩大投资。全区争取新增专项债券5.3亿元，重点用于棚户区改造、职业中等专业学校迁建、污水处理等项目，缓解预算财力投入不足的压力。二是继续坚持将道路建设摆在优先位置，投入资金21398万元，确保了西安路、人民路等5条西进道路建成通车，世纪大道主线具备通车条件，新区“四横两纵”主干路网全面形成。三是不断推进城市西进战略实施，投入资金9186万元，保障朱子埠支流综合治理项目加快实施，枣庄市人民医院、省国欣颐养健康集团枣庄医院开工建设。四是下大力气加速老城提档升级，投入资金23370万元，推动48个老旧小区改造全面完工，文化东路等9条老旧热力一级管网完成改造，振兴路公铁立交桥建成通车，惠民铁路专用线实现旧线停运、新线运营，困扰群众出行数十年的铁路穿城问题彻底解决。五是支持乡村建设提升，积极统筹资金用于西王庄镇希望社区项目建设，完善配套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"/>
        </w:rPr>
        <w:t>基础设施，提升了群众幸福指数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推进财税管理改革，全面提升财政管理能力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一是深化财政管理体制改革。持续强化预算绩效管理工作，严格按照省市财政部门要求，开展扶贫领域及重点项目绩效评价工作，全面启动预算单位绩效评价及重点项目全生命周期的绩效评价工作。二是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36"/>
          <w:sz w:val="32"/>
          <w:szCs w:val="32"/>
        </w:rPr>
        <w:t>政府采购和投资评审效果凸显。2021年全区实际政府采购规模达7.06亿元，资金节约率为1.22%；落实《政府采购促进中小企业发展管理办法》，全区政府采购中小企业中标率为88.02%；财政投资评审累计评审项目130个，资金规模达25.78亿元，审减率为11.7%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三是政府性债务管理不断优化。严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格落实政府债务限额管理，持续有效降低政府债务率，2021年全区政府债务率控制在合理范围；政府性债务管理工作稳步提升，多措并举积极化解政府隐性债务，政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6"/>
          <w:sz w:val="32"/>
          <w:szCs w:val="32"/>
        </w:rPr>
        <w:t>府债务风险趋于合理区间，牢牢守住不发生系统性债务风险底线。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各位代表，过去的一年，全区财税部门广大干部职工尽职履责，担当作为，在多个领域取得了一定成绩，但仍面临着许多困难和问题。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收入方面，复杂多变的经济形势对尚处于转型期的我区财政收入影响较大，财政持续增收仍存在压力；收入征管的薄弱环节依然存在，部分镇街财源基础仍然薄弱。支出方面，“三保”兜底需求、社会民生保障、政府债务本息偿还、行政事业单位养老金、乡村振兴战略以及重点项目刚性支出迅猛增长，财政收支矛盾仍然突出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此外，财税管理体制改革仍需进一步推进，综合治税力度需进一步加大；一些部门单位“过紧日子”的思想树得不牢，预算绩效管理和财政监督力度还有待加强等等。对此，我们将采取积极有效措施，逐步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三、2022年预算草案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根据中央、省、市关于2022年财政预算安排要求，全区预算编制总的指导思想是：</w:t>
      </w: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举中国特色社会主义伟大旗帜，以习近平新时代中国特色社会主义思想为指导，全面贯彻党的十九大和十九届历次全会精神，深入落实习近平总书记重要讲话精神和视察山东重要指示要求，统筹推进“五位一体”总体布局，协调推进“四个全面”战略布局，坚持稳中求进工作总基调，完整、准确、全面贯彻新发展理念，紧紧围绕“先把经济搞上去、集中精力强工业”这一中心，深入实施“工业强区、产业兴区、城建立区”战略，继续落实积极的财政政策，进一步优化财政支出结构，支持做好民生保障、乡村振兴、工业强区、城市西进、金融赋能等重点工作。同时，稳步推进财税改革，依法规范财政管理，奋力</w:t>
      </w: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开创</w:t>
      </w: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新时代社会主义现代化强区</w:t>
      </w: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建设新局面！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根据上述指导思想，根据《中华人民共和国预算法》和区委、区政府的总体部署，按照“收入预算实事求是、积极可行”“支出预算统筹兼顾、突出重点”的原则，编制2022年财政预算草案如下：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2022年，根据中央和省、市经济工作会议精神，考虑到收入质量提升、减税降费政策及新冠疫情对经济影响等因素，全区一般公共预算收入按增长6.5%安排。全区一般公共预算收入预计实现275822万元，当年财力预计实现353799万元，全区一般公共预算支出相应安排353799万元，全区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全区“三保”预算编制情况：2022年全区可用于“三保”预算财力为290531万元，按照兜实“保工资、保运转、保基本民生”支出底线原则，2022年全区“三保”预算支出安排252461万元。其中，保工资178244万元，保运转8066万元，保基本民生66151万元。“三保”支出得到全面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（一）区级一般公共预算安排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2022年，区级一般公共预算收入安排214354万元，增长6.5%，当年收入加上结算补助、调入资金及上年结转收入等，区级一般公共预算财力预计312051万元，区级一般公共预算支出相应安排312051万元，区级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（二）区级政府性基金预算安排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2022年，区级政府性基金收入安排535749万元，加上政府性基金补助、置换债券转贷收入及上年结转收入等52930万元，新增地方政府专项债券收入90000万元，区级政府性基金财力预计678679万元。政府性基金支出相应安排570199万元，加上调出资金、上解上级支出、专项债务还本支出等108480万元，区级政府性基金预算总支出678679万元，区级政府性基金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（三）区级国有资本经营预算安排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2022年，区级国有资本经营预算收入安排30000万元，主要是国有企业利润收入。国有资本经营预算支出相应安排25407万元，调出资金4593万元，区级国有资本经营预算收支平衡。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（四）区级社会保险基金预算安排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2022年，区级社会保险基金收入安排55260万元，社会保险基金预算支出安排50781万元，加上上年滚存结余69446万元，年终滚存结余73925万元。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（五）区级主要支出项目安排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2022年，区级财政统筹一般公共预算、政府性基金预算及国有资本经营预算三本预算资金，安排主要支出项目如下：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1、区级基本支出安排115856万元。主要包括：在职人员工资津贴、社会保险缴费，离退休人员住房补贴、物业补贴、取暖补贴，区直部门基本公用经费，中小学校生均公用经费等支出。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、区级社保民生支出安排81529万元。主要包括：城乡居民基本医疗保险，城乡居民养老保险补助，城乡低保，基本公共卫生，基本药物制度，重大公共卫生专项，老年人居民医保减免，优抚，就业补助，医疗救助，残疾人生活补贴，原民办教师、乡村医生、老电影放映员补助，退役士兵安置，乡镇退役士兵公益岗，镇街卫生院工资、行政事业养老金缺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3、部门项目支出安排情况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一般公共服务及政法等方面安排项目支出29596万元：主要用于人大、政协“两会”，党委政府运行，工青妇团活动，党建组织工作，城市社区为民服务专项，社区工作经费，新闻宣传，网格化社会管理，商贸服务业，市场管理经费，档案馆建设，政法系统专项，公安辅警，员额检察官绩效，扫黑除恶，禁毒专项，执法办案，信访维稳，统战及民族事务，法律援助和普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城建、交通、环保等方面安排项目支出42857万元：主要用于市政园林管理维护，市容环境卫生，城乡社区管理，污水处理，城乡环境卫生，生活垃圾分类，“雪亮工程”，建筑工程质量监督，图纸审查费，城建项目工程设计费，东西沙河供水维护，东湖公园维护，环境保护，环保执法，清洁生产专项，交通运输，道路建设维护，治超执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教育科技体育文化方面安排项目支出25107万元：主要用于免学费及助学金，班主任津贴，校长职级制，云课堂，合同制教师劳务费，校车运营，义务教育非寄宿生生活补助，科技交流与合作，科普宣传，文旅推介，旅游发展，冰雪项目，群众文化和体育，体校建设运行，“三馆”免费开放，文物保护，职业教育，干部培训等。另外，通过教育专户安排资金用于改善办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农业发展方面安排项目支出7828万元：主要用于农技推广及产业发展，秸秆综合利用，耕地质量保护，农村饮水安全，水库除险加固，水土保持，林业专项，动物防疫及技术推广，农机购置补贴，林业实用技术培训，农产品质量安全，“三品一标”认证，农业综合开发，农业信贷风险补偿，美丽河湖创建，县域节水型城市创建，水库移民等。上述资金以上级专项资金为主，区级部分涉农资金按照上级要求统筹整合，统一安排至乡村振兴重大专项资金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其他方面安排业务类支出9697万元：主要用于人才工程，食品安全，市场监督管理，安全生产，专项消防队员补助，民政事务，自然资源利用与保护，破产企业人员托管，企业股改奖励，“新三板”挂牌奖励，国有资产管理，灾害民生综合保险，福彩体彩项目，公共租赁住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4、预备费及部分重点支出方面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主要是按照《预算法》要求，预备费安排9000万元，预留增人增资和退休一次性补助等11000万元，政府债券付息31068万元，政府债券还本7026万元，新增专项债券支出90000万元，全区绩效评价及债券发行等费用支出300万元，PPP付费、棚户区改造、解决大班额等政府购买服务项目25538万元，教育发展专项2000万元，乡村振兴战略专项6000万元，开发区改革改制15000万元，科技创新、人才培训培养及引进等2000万元，招商引资（工业强区）7874万元，新旧动能转换5000万元，本土企业技改扶持发展5000万元，城市西进战略实施5000万元，城市更新改造5000万元，区域协调发展5000万元，国有破产企业改革改制20000万元，土地成本性支出350000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四、砥砺奋进，勇毅前行，全力推动财税工作再上新台阶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2022年是巩固全面建成小康社会成果、全面建设社会主义现代化国家的重要之年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，是我区奋勇争先、实现高质量发展的攻坚发力之年，我们将认真贯彻区委决策部署，以新的理念谋划财政工作，以新的格局推进财政工作，不断自我加压，提高标杆，全力以赴抓好各项工作落实，为推动全区经济社会高质量发展提供财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w w:val="100"/>
          <w:sz w:val="32"/>
          <w:szCs w:val="32"/>
        </w:rPr>
        <w:t>（一）大胆创新，敢想敢干，在资金运筹方式上求突破。</w:t>
      </w: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牢固树立平台思维，大力实施金融赋能，坚持“用资产换资金、用存量换增量”，高效推进区级投融资平台建设，整合行政事业单位经营性资产、国企资产和城市基础设施资源，加大有形资产注入，着力打造2家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AA</w:t>
      </w:r>
      <w:r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主体信用评级平台公司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b/>
          <w:color w:val="000000"/>
          <w:sz w:val="32"/>
          <w:szCs w:val="32"/>
        </w:rPr>
        <w:t>形成平台规模效应</w:t>
      </w:r>
      <w:r>
        <w:rPr>
          <w:rFonts w:hint="eastAsia" w:eastAsia="仿宋_GB2312"/>
          <w:b/>
          <w:color w:val="000000"/>
          <w:sz w:val="32"/>
          <w:szCs w:val="32"/>
        </w:rPr>
        <w:t>，</w:t>
      </w:r>
      <w:r>
        <w:rPr>
          <w:rFonts w:eastAsia="仿宋_GB2312"/>
          <w:b/>
          <w:color w:val="000000"/>
          <w:sz w:val="32"/>
          <w:szCs w:val="32"/>
        </w:rPr>
        <w:t>一方面用于扶持本地产业，另一方面</w:t>
      </w:r>
      <w:r>
        <w:rPr>
          <w:rFonts w:hint="eastAsia" w:eastAsia="仿宋_GB2312"/>
          <w:b/>
          <w:color w:val="000000"/>
          <w:sz w:val="32"/>
          <w:szCs w:val="32"/>
        </w:rPr>
        <w:t>加大</w:t>
      </w:r>
      <w:r>
        <w:rPr>
          <w:rFonts w:eastAsia="仿宋_GB2312"/>
          <w:b/>
          <w:color w:val="000000"/>
          <w:sz w:val="32"/>
          <w:szCs w:val="32"/>
        </w:rPr>
        <w:t>资金融取</w:t>
      </w:r>
      <w:r>
        <w:rPr>
          <w:rFonts w:hint="eastAsia" w:eastAsia="仿宋_GB2312"/>
          <w:b/>
          <w:color w:val="000000"/>
          <w:sz w:val="32"/>
          <w:szCs w:val="32"/>
        </w:rPr>
        <w:t>力度</w:t>
      </w: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用作</w:t>
      </w:r>
      <w:r>
        <w:rPr>
          <w:rFonts w:eastAsia="仿宋_GB2312"/>
          <w:b/>
          <w:color w:val="000000"/>
          <w:sz w:val="32"/>
          <w:szCs w:val="32"/>
        </w:rPr>
        <w:t>投资项目的资本金，实现金融赋能。同时，创新项目招引理念，改变过去仅给土地、给政策的原始招商模式，探索利用全区集聚起来的资产资源以及融取的大量资金作为资本，招引大型产业项目落地我区，并以多种形式投资入股，以“税收+分红”形式形成收益，再用于扶持本地实体产业、金融业，逐步完善城市基础条件，从而更加有利于项目招引，形成良性发展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开源节流，强化管理，在实施增收节支上求突破。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一是全力以赴抓收入。财税部门要积极开展税源调查，加强重点行业和重点税源的动态监管，优化外来施工企业涉税管理，规范建筑安装房地产行业税源管理等，抓实各环节管控。各非税收入执收部门全力挖掘收入潜力，做到应缴尽缴。二是千方百计强管理。深入推进预算绩效管理，增强预算安排精准度，提高财政资金使用效益，绩效不达标的项目相应核减支出；综合运用国库集中支付、政府投资评审、政府采购等管理手段，确保预算执行严格到位，财政资金安全有效运行；坚决做到一般性支出和非急需非刚性支出可压尽压、应压尽压；坚决落实“过紧日子”要求，对非重点项目能缓则缓，将有限的财政资金用到刀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（三）强化帮扶，优化服务，在积聚发展潜力上求突破。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全力支持项目招引工作，为全面落实工业强区战略积聚发展潜力提供坚实保障。一是保障园区改革发展。坚持“高标准、严要求”加强园区内公共基础设施建设，既满足当前需要，又适度超前；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大力支持开发区体制机制改革创新，进一步完善与开放合作、创新创业相挂钩的财政激励和奖补政策机制，增强园区发展活力。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二是持续优化营商环境。切实增强服务意识，精准实施“一企一策”帮扶，对投资有回报、产品有市场、企业有利润、员工有收入、政府有税收、环境有改善的企业，加大财政支持力度，促进企业发展；对发展有潜力、暂时有困难的企业，也充分利用现有资源和扶持政策，指导企业申请各项奖励补贴资金等等，帮助其尽快走出困境，逐步形成互帮互助的良好营商生态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有保有压，守牢底线，在落实民生保障上求突破。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一是牢牢守住“三保”支出底线，压减一般性支出，从严控制“三公”经费，优先保障工资性支出、基本民生、基本运转，特别是民生刚性需求。</w:t>
      </w:r>
      <w:r>
        <w:rPr>
          <w:rFonts w:hint="default" w:ascii="Times New Roman" w:hAnsi="Times New Roman" w:eastAsia="仿宋_GB2312" w:cs="Times New Roman"/>
          <w:b/>
          <w:color w:val="000000"/>
          <w:w w:val="1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000000"/>
          <w:w w:val="100"/>
          <w:sz w:val="32"/>
          <w:szCs w:val="32"/>
        </w:rPr>
        <w:t>继续推进城乡居民基本养老、医疗保险等重点社保项目扩面提标，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加大基本公共卫生服务财政投入力度，稳步提高城乡居民医保财政补助标准，落实好大病保险政策。三是强化教育投入保障，持续优化教育资源配置，进一步改善农村中小学办学条件。四是保障就业政策落实，综合利用财政奖补、贴息等措施，帮助城乡困难群体、高校毕业生等重点人群就业创业。五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推进乡村振兴战略实施，加大现代农业扶持引导力度，持续推进“美丽乡村”建设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。六是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加快城市西进步伐，推进S103济枣线市中段改建等工程全面建设，推动永安高铁新区及枣庄经济开发区产城融合发展。七是持续加大公共基础设施投入保障力度，支持老旧小区整治等项目建设，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使人民群众真切地感受到生产生活条件的改善，提升人民群众的获得感、幸福感。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（五）着力完善，纵深推进，在深化财政改革上求突破。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深化预算管理制度改革。加强财政资源统筹，增强财政调控能力；强化预算约束和绩效管理，不断提升财政资源配置效率和资金使用效益；加快推进财政事权和支出责任划分，进一步理顺区与镇街收入划分，调动各级各方面组织收入积极性，增强公共服务保障能力。二是深化财政投入方式改革。实施更加积极的财政政策，运用引导基金、政府和社会资本合作、贷款贴息、保费补贴等市场化政策工具，打好多种政策“组合拳”，切实发挥财政资金“四两拨千斤”的作用。三是深化政府采购和投资评审改革。持续强化政府采购管理，不断规范政府采购工作流程，推进政府购买公共服务工作深入开展。进一步健全完善财政投资评审程序及方式，提升财政投资评审的效率和效益。四是严格执行中央和省、市政策要求，完善政府债务管理制度，严控严管各级各部门的举债行为；统筹政府各类资产资源，有序化解政府债务，持续降低政府债务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各位代表！新的一年财政工作面临的任务更加艰巨，我们肩负的责任也更加重大，但我们有信心，也有决心在区委的正确领导下，在区人大、区政协的监督支持下，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勇担使命、砥砺前行，锚定目标、拼搏实干，奋力开创新时代社会主义现代化强区建设新局面！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1" w:firstLineChars="196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644" w:bottom="1644" w:left="164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Times New Roman" w:hAnsi="Times New Roman" w:eastAsia="宋体" w:cs="Times New Roman"/>
        <w:sz w:val="32"/>
        <w:szCs w:val="32"/>
        <w:lang w:eastAsia="zh-CN"/>
      </w:rPr>
    </w:pPr>
    <w:r>
      <w:rPr>
        <w:rStyle w:val="6"/>
        <w:rFonts w:hint="eastAsia" w:ascii="Times New Roman" w:hAnsi="Times New Roman" w:cs="Times New Roman"/>
        <w:sz w:val="32"/>
        <w:szCs w:val="32"/>
      </w:rPr>
      <w:t xml:space="preserve">— </w:t>
    </w: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Style w:val="6"/>
        <w:rFonts w:ascii="Times New Roman" w:hAnsi="Times New Roman" w:cs="Times New Roman"/>
        <w:sz w:val="32"/>
        <w:szCs w:val="32"/>
      </w:rPr>
      <w:instrText xml:space="preserve">PAGE 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Style w:val="6"/>
        <w:rFonts w:ascii="Times New Roman" w:hAnsi="Times New Roman" w:cs="Times New Roman"/>
        <w:sz w:val="32"/>
        <w:szCs w:val="32"/>
      </w:rPr>
      <w:t>15</w:t>
    </w:r>
    <w:r>
      <w:rPr>
        <w:rFonts w:ascii="Times New Roman" w:hAnsi="Times New Roman" w:cs="Times New Roman"/>
        <w:sz w:val="32"/>
        <w:szCs w:val="32"/>
      </w:rPr>
      <w:fldChar w:fldCharType="end"/>
    </w:r>
    <w:r>
      <w:rPr>
        <w:rStyle w:val="6"/>
        <w:rFonts w:hint="eastAsia" w:ascii="Times New Roman" w:hAnsi="Times New Roman" w:cs="Times New Roman"/>
        <w:sz w:val="32"/>
        <w:szCs w:val="32"/>
      </w:rPr>
      <w:t xml:space="preserve"> </w:t>
    </w:r>
    <w:r>
      <w:rPr>
        <w:rStyle w:val="6"/>
        <w:rFonts w:hint="eastAsia" w:ascii="Times New Roman" w:hAnsi="Times New Roman" w:cs="Times New Roman"/>
        <w:sz w:val="32"/>
        <w:szCs w:val="32"/>
        <w:lang w:eastAsia="zh-CN"/>
      </w:rPr>
      <w:t>—</w:t>
    </w:r>
  </w:p>
  <w:p>
    <w:pPr>
      <w:pStyle w:val="2"/>
      <w:ind w:right="360"/>
      <w:rPr>
        <w:rFonts w:hint="eastAsia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4D7C"/>
    <w:rsid w:val="0AFC2624"/>
    <w:rsid w:val="14377F23"/>
    <w:rsid w:val="1863750E"/>
    <w:rsid w:val="2EA055A3"/>
    <w:rsid w:val="383202C6"/>
    <w:rsid w:val="4E347267"/>
    <w:rsid w:val="64390D54"/>
    <w:rsid w:val="704F6962"/>
    <w:rsid w:val="717266C9"/>
    <w:rsid w:val="7B287F52"/>
    <w:rsid w:val="7D0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方正小标宋简体"/>
    <w:basedOn w:val="1"/>
    <w:qFormat/>
    <w:uiPriority w:val="99"/>
    <w:pPr>
      <w:spacing w:line="600" w:lineRule="exact"/>
      <w:jc w:val="center"/>
    </w:pPr>
    <w:rPr>
      <w:rFonts w:ascii="仿宋" w:hAnsi="仿宋" w:eastAsia="仿宋" w:cs="仿宋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2022-01-21T08:30:00Z</dcterms:created>
  <dc:creator>dj001</dc:creator>
  <cp:lastModifiedBy>dj002</cp:lastModifiedBy>
  <cp:lastPrinted>2022-01-24T08:32:00Z</cp:lastPrinted>
  <dcterms:modified xsi:type="dcterms:W3CDTF">2022-01-24T08:50:33Z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C83FA64AA5D845C2AD247060CFF6DE70</vt:lpwstr>
  </property>
</Properties>
</file>