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楷体_GB2312" w:eastAsia="楷体_GB2312"/>
          <w:sz w:val="32"/>
          <w:szCs w:val="32"/>
        </w:rPr>
      </w:pPr>
      <w:bookmarkStart w:id="0" w:name="_Toc451774978"/>
      <w:bookmarkStart w:id="1" w:name="_Toc451267494"/>
      <w:bookmarkStart w:id="2" w:name="_Toc451266229"/>
      <w:bookmarkStart w:id="3" w:name="_Toc451267670"/>
      <w:bookmarkStart w:id="4" w:name="_Toc452281525"/>
      <w:bookmarkStart w:id="5" w:name="_Toc451246037"/>
    </w:p>
    <w:p>
      <w:pPr>
        <w:spacing w:line="580" w:lineRule="exact"/>
        <w:ind w:right="-1638" w:rightChars="-525"/>
        <w:jc w:val="center"/>
        <w:rPr>
          <w:rFonts w:ascii="方正小标宋简体" w:eastAsia="方正小标宋简体"/>
          <w:color w:val="FF0000"/>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枣庄市市中区2018年周村水库</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增殖放流项目绩效评价报告</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w:t>
      </w:r>
      <w:r>
        <w:rPr>
          <w:rFonts w:hint="eastAsia" w:ascii="楷体_GB2312" w:eastAsia="楷体_GB2312"/>
          <w:sz w:val="24"/>
          <w:szCs w:val="24"/>
          <w:lang w:eastAsia="zh-CN"/>
        </w:rPr>
        <w:t>徐华会专审（</w:t>
      </w:r>
      <w:r>
        <w:rPr>
          <w:rFonts w:hint="eastAsia" w:ascii="楷体_GB2312" w:eastAsia="楷体_GB2312"/>
          <w:sz w:val="24"/>
          <w:szCs w:val="24"/>
          <w:lang w:val="en-US" w:eastAsia="zh-CN"/>
        </w:rPr>
        <w:t>2019</w:t>
      </w:r>
      <w:r>
        <w:rPr>
          <w:rFonts w:hint="eastAsia" w:ascii="楷体_GB2312" w:eastAsia="楷体_GB2312"/>
          <w:sz w:val="24"/>
          <w:szCs w:val="24"/>
          <w:lang w:eastAsia="zh-CN"/>
        </w:rPr>
        <w:t>）第</w:t>
      </w:r>
      <w:r>
        <w:rPr>
          <w:rFonts w:hint="eastAsia" w:ascii="楷体_GB2312" w:eastAsia="楷体_GB2312"/>
          <w:sz w:val="24"/>
          <w:szCs w:val="24"/>
          <w:lang w:val="en-US" w:eastAsia="zh-CN"/>
        </w:rPr>
        <w:t>046号]</w:t>
      </w:r>
    </w:p>
    <w:p>
      <w:pPr>
        <w:jc w:val="center"/>
        <w:rPr>
          <w:rFonts w:ascii="楷体_GB2312" w:eastAsia="楷体_GB2312"/>
          <w:sz w:val="32"/>
          <w:szCs w:val="32"/>
        </w:rPr>
      </w:pPr>
    </w:p>
    <w:p>
      <w:pPr>
        <w:jc w:val="center"/>
        <w:rPr>
          <w:rFonts w:ascii="楷体_GB2312" w:eastAsia="楷体_GB2312"/>
          <w:sz w:val="32"/>
          <w:szCs w:val="32"/>
        </w:rPr>
      </w:pPr>
    </w:p>
    <w:p>
      <w:pPr>
        <w:jc w:val="both"/>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ind w:firstLine="996" w:firstLineChars="300"/>
        <w:rPr>
          <w:rFonts w:ascii="楷体_GB2312" w:hAnsi="黑体" w:eastAsia="楷体_GB2312"/>
          <w:sz w:val="32"/>
          <w:szCs w:val="32"/>
        </w:rPr>
      </w:pPr>
    </w:p>
    <w:p>
      <w:pPr>
        <w:spacing w:line="580" w:lineRule="exact"/>
        <w:ind w:firstLine="996" w:firstLineChars="300"/>
        <w:rPr>
          <w:rFonts w:ascii="黑体" w:hAnsi="黑体" w:eastAsia="黑体"/>
          <w:sz w:val="32"/>
          <w:szCs w:val="32"/>
        </w:rPr>
      </w:pPr>
      <w:r>
        <w:rPr>
          <w:rFonts w:hint="eastAsia" w:ascii="黑体" w:hAnsi="黑体" w:eastAsia="黑体"/>
          <w:sz w:val="32"/>
          <w:szCs w:val="32"/>
        </w:rPr>
        <w:t>委托单位：枣庄市市中区财政局</w:t>
      </w:r>
    </w:p>
    <w:p>
      <w:pPr>
        <w:spacing w:line="580" w:lineRule="exact"/>
        <w:ind w:firstLine="996" w:firstLineChars="300"/>
        <w:rPr>
          <w:rFonts w:ascii="黑体" w:hAnsi="黑体" w:eastAsia="黑体"/>
          <w:sz w:val="32"/>
          <w:szCs w:val="32"/>
        </w:rPr>
      </w:pPr>
      <w:r>
        <w:rPr>
          <w:rFonts w:hint="eastAsia" w:ascii="黑体" w:hAnsi="黑体" w:eastAsia="黑体"/>
          <w:sz w:val="32"/>
          <w:szCs w:val="32"/>
        </w:rPr>
        <w:t>项目主管单位：枣庄市市中区水务局</w:t>
      </w:r>
    </w:p>
    <w:p>
      <w:pPr>
        <w:spacing w:line="580" w:lineRule="exact"/>
        <w:ind w:firstLine="996" w:firstLineChars="300"/>
        <w:rPr>
          <w:rFonts w:ascii="黑体" w:hAnsi="黑体" w:eastAsia="黑体"/>
          <w:sz w:val="32"/>
          <w:szCs w:val="32"/>
        </w:rPr>
      </w:pPr>
      <w:r>
        <w:rPr>
          <w:rFonts w:hint="eastAsia" w:ascii="黑体" w:hAnsi="黑体" w:eastAsia="黑体"/>
          <w:sz w:val="32"/>
          <w:szCs w:val="32"/>
        </w:rPr>
        <w:t>评价机构：徐州华兴会计师事务所有限公司</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2019年3月16日</w:t>
      </w:r>
    </w:p>
    <w:bookmarkEnd w:id="0"/>
    <w:bookmarkEnd w:id="1"/>
    <w:bookmarkEnd w:id="2"/>
    <w:bookmarkEnd w:id="3"/>
    <w:bookmarkEnd w:id="4"/>
    <w:bookmarkEnd w:id="5"/>
    <w:p>
      <w:bookmarkStart w:id="6" w:name="_Toc489015036"/>
      <w:bookmarkStart w:id="7" w:name="_Toc489005207"/>
      <w:bookmarkStart w:id="8" w:name="_Toc489005354"/>
      <w:r>
        <w:rPr>
          <w:rFonts w:hint="eastAsia"/>
        </w:rPr>
        <w:t xml:space="preserve">      </w:t>
      </w:r>
    </w:p>
    <w:p>
      <w:pPr>
        <w:ind w:firstLine="3120" w:firstLineChars="1000"/>
      </w:pPr>
      <w:r>
        <w:rPr>
          <w:rFonts w:hint="eastAsia"/>
        </w:rPr>
        <w:t xml:space="preserve">  </w:t>
      </w:r>
      <w:r>
        <w:rPr>
          <w:rFonts w:hint="eastAsia" w:ascii="方正小标宋简体" w:eastAsia="方正小标宋简体"/>
          <w:sz w:val="44"/>
          <w:szCs w:val="44"/>
        </w:rPr>
        <w:t>目  录</w:t>
      </w:r>
      <w:r>
        <w:rPr>
          <w:rFonts w:ascii="方正小标宋简体" w:eastAsia="方正小标宋简体"/>
          <w:sz w:val="44"/>
          <w:szCs w:val="44"/>
        </w:rPr>
        <w:fldChar w:fldCharType="begin"/>
      </w:r>
      <w:r>
        <w:rPr>
          <w:rFonts w:ascii="方正小标宋简体" w:eastAsia="方正小标宋简体"/>
          <w:sz w:val="44"/>
          <w:szCs w:val="44"/>
        </w:rPr>
        <w:instrText xml:space="preserve"> TOC \o "1-3" \h \z \u </w:instrText>
      </w:r>
      <w:r>
        <w:rPr>
          <w:rFonts w:ascii="方正小标宋简体" w:eastAsia="方正小标宋简体"/>
          <w:sz w:val="44"/>
          <w:szCs w:val="44"/>
        </w:rPr>
        <w:fldChar w:fldCharType="separate"/>
      </w:r>
    </w:p>
    <w:p>
      <w:pPr>
        <w:pStyle w:val="13"/>
        <w:tabs>
          <w:tab w:val="right" w:leader="dot" w:pos="8302"/>
        </w:tabs>
        <w:rPr>
          <w:rFonts w:eastAsiaTheme="minorEastAsia" w:cstheme="minorBidi"/>
          <w:spacing w:val="0"/>
          <w:sz w:val="21"/>
        </w:rPr>
      </w:pPr>
      <w:r>
        <w:fldChar w:fldCharType="begin"/>
      </w:r>
      <w:r>
        <w:instrText xml:space="preserve"> HYPERLINK \l "_Toc491438394" </w:instrText>
      </w:r>
      <w:r>
        <w:fldChar w:fldCharType="separate"/>
      </w:r>
      <w:r>
        <w:rPr>
          <w:rStyle w:val="21"/>
          <w:rFonts w:hint="eastAsia" w:ascii="方正小标宋简体" w:eastAsia="方正小标宋简体"/>
        </w:rPr>
        <w:t>摘</w:t>
      </w:r>
      <w:r>
        <w:rPr>
          <w:rStyle w:val="21"/>
          <w:rFonts w:ascii="方正小标宋简体" w:eastAsia="方正小标宋简体"/>
        </w:rPr>
        <w:t xml:space="preserve">  </w:t>
      </w:r>
      <w:r>
        <w:rPr>
          <w:rStyle w:val="21"/>
          <w:rFonts w:hint="eastAsia" w:ascii="方正小标宋简体" w:eastAsia="方正小标宋简体"/>
        </w:rPr>
        <w:t>要</w:t>
      </w:r>
      <w:r>
        <w:tab/>
      </w:r>
      <w:r>
        <w:fldChar w:fldCharType="begin"/>
      </w:r>
      <w:r>
        <w:instrText xml:space="preserve"> PAGEREF _Toc491438394 \h </w:instrText>
      </w:r>
      <w:r>
        <w:fldChar w:fldCharType="separate"/>
      </w:r>
      <w:r>
        <w:t>1</w:t>
      </w:r>
      <w:r>
        <w:fldChar w:fldCharType="end"/>
      </w:r>
      <w:r>
        <w:fldChar w:fldCharType="end"/>
      </w:r>
    </w:p>
    <w:p>
      <w:pPr>
        <w:pStyle w:val="15"/>
        <w:rPr>
          <w:rFonts w:eastAsiaTheme="minorEastAsia" w:cstheme="minorBidi"/>
          <w:spacing w:val="0"/>
          <w:sz w:val="21"/>
        </w:rPr>
      </w:pPr>
      <w:r>
        <w:fldChar w:fldCharType="begin"/>
      </w:r>
      <w:r>
        <w:instrText xml:space="preserve"> HYPERLINK \l "_Toc491438395" </w:instrText>
      </w:r>
      <w:r>
        <w:fldChar w:fldCharType="separate"/>
      </w:r>
      <w:r>
        <w:rPr>
          <w:rStyle w:val="21"/>
          <w:rFonts w:hint="eastAsia"/>
        </w:rPr>
        <w:t>一、项目概述</w:t>
      </w:r>
      <w:r>
        <w:tab/>
      </w:r>
      <w:r>
        <w:fldChar w:fldCharType="begin"/>
      </w:r>
      <w:r>
        <w:instrText xml:space="preserve"> PAGEREF _Toc491438395 \h </w:instrText>
      </w:r>
      <w:r>
        <w:fldChar w:fldCharType="separate"/>
      </w:r>
      <w:r>
        <w:t>1</w:t>
      </w:r>
      <w:r>
        <w:fldChar w:fldCharType="end"/>
      </w:r>
      <w:r>
        <w:fldChar w:fldCharType="end"/>
      </w:r>
    </w:p>
    <w:p>
      <w:pPr>
        <w:pStyle w:val="15"/>
        <w:rPr>
          <w:rFonts w:eastAsiaTheme="minorEastAsia" w:cstheme="minorBidi"/>
          <w:spacing w:val="0"/>
          <w:sz w:val="21"/>
        </w:rPr>
      </w:pPr>
      <w:r>
        <w:fldChar w:fldCharType="begin"/>
      </w:r>
      <w:r>
        <w:instrText xml:space="preserve"> HYPERLINK \l "_Toc491438396" </w:instrText>
      </w:r>
      <w:r>
        <w:fldChar w:fldCharType="separate"/>
      </w:r>
      <w:r>
        <w:rPr>
          <w:rStyle w:val="21"/>
          <w:rFonts w:hint="eastAsia"/>
        </w:rPr>
        <w:t>二、项目绩效目标</w:t>
      </w:r>
      <w:r>
        <w:tab/>
      </w:r>
      <w:r>
        <w:fldChar w:fldCharType="begin"/>
      </w:r>
      <w:r>
        <w:instrText xml:space="preserve"> PAGEREF _Toc491438396 \h </w:instrText>
      </w:r>
      <w:r>
        <w:fldChar w:fldCharType="separate"/>
      </w:r>
      <w:r>
        <w:t>1</w:t>
      </w:r>
      <w:r>
        <w:fldChar w:fldCharType="end"/>
      </w:r>
      <w:r>
        <w:fldChar w:fldCharType="end"/>
      </w:r>
    </w:p>
    <w:p>
      <w:pPr>
        <w:pStyle w:val="15"/>
        <w:rPr>
          <w:rFonts w:eastAsiaTheme="minorEastAsia" w:cstheme="minorBidi"/>
          <w:spacing w:val="0"/>
          <w:sz w:val="21"/>
        </w:rPr>
      </w:pPr>
      <w:r>
        <w:fldChar w:fldCharType="begin"/>
      </w:r>
      <w:r>
        <w:instrText xml:space="preserve"> HYPERLINK \l "_Toc491438397" </w:instrText>
      </w:r>
      <w:r>
        <w:fldChar w:fldCharType="separate"/>
      </w:r>
      <w:r>
        <w:rPr>
          <w:rStyle w:val="21"/>
          <w:rFonts w:hint="eastAsia"/>
        </w:rPr>
        <w:t>三、评价基本情况</w:t>
      </w:r>
      <w:r>
        <w:tab/>
      </w:r>
      <w:r>
        <w:fldChar w:fldCharType="begin"/>
      </w:r>
      <w:r>
        <w:instrText xml:space="preserve"> PAGEREF _Toc491438397 \h </w:instrText>
      </w:r>
      <w:r>
        <w:fldChar w:fldCharType="separate"/>
      </w:r>
      <w:r>
        <w:t>1</w:t>
      </w:r>
      <w:r>
        <w:fldChar w:fldCharType="end"/>
      </w:r>
      <w:r>
        <w:fldChar w:fldCharType="end"/>
      </w:r>
    </w:p>
    <w:p>
      <w:pPr>
        <w:pStyle w:val="15"/>
        <w:rPr>
          <w:rFonts w:eastAsiaTheme="minorEastAsia" w:cstheme="minorBidi"/>
          <w:spacing w:val="0"/>
          <w:sz w:val="21"/>
        </w:rPr>
      </w:pPr>
      <w:r>
        <w:fldChar w:fldCharType="begin"/>
      </w:r>
      <w:r>
        <w:instrText xml:space="preserve"> HYPERLINK \l "_Toc491438398" </w:instrText>
      </w:r>
      <w:r>
        <w:fldChar w:fldCharType="separate"/>
      </w:r>
      <w:r>
        <w:rPr>
          <w:rStyle w:val="21"/>
          <w:rFonts w:hint="eastAsia"/>
        </w:rPr>
        <w:t>四、评价结论情况</w:t>
      </w:r>
      <w:r>
        <w:tab/>
      </w:r>
      <w:r>
        <w:rPr>
          <w:rFonts w:hint="eastAsia"/>
        </w:rPr>
        <w:t>3</w:t>
      </w:r>
      <w:r>
        <w:rPr>
          <w:rFonts w:hint="eastAsia"/>
        </w:rPr>
        <w:fldChar w:fldCharType="end"/>
      </w:r>
    </w:p>
    <w:p>
      <w:pPr>
        <w:pStyle w:val="15"/>
        <w:rPr>
          <w:rFonts w:eastAsiaTheme="minorEastAsia" w:cstheme="minorBidi"/>
          <w:spacing w:val="0"/>
          <w:sz w:val="21"/>
        </w:rPr>
      </w:pPr>
      <w:r>
        <w:fldChar w:fldCharType="begin"/>
      </w:r>
      <w:r>
        <w:instrText xml:space="preserve"> HYPERLINK \l "_Toc491438399" </w:instrText>
      </w:r>
      <w:r>
        <w:fldChar w:fldCharType="separate"/>
      </w:r>
      <w:r>
        <w:rPr>
          <w:rStyle w:val="21"/>
          <w:rFonts w:hint="eastAsia"/>
        </w:rPr>
        <w:t>五、意见建议</w:t>
      </w:r>
      <w:r>
        <w:tab/>
      </w:r>
      <w:r>
        <w:rPr>
          <w:rFonts w:hint="eastAsia"/>
        </w:rPr>
        <w:t>5</w:t>
      </w:r>
      <w:r>
        <w:rPr>
          <w:rFonts w:hint="eastAsia"/>
        </w:rPr>
        <w:fldChar w:fldCharType="end"/>
      </w:r>
    </w:p>
    <w:p>
      <w:pPr>
        <w:pStyle w:val="13"/>
        <w:tabs>
          <w:tab w:val="right" w:leader="dot" w:pos="8302"/>
        </w:tabs>
        <w:rPr>
          <w:rFonts w:eastAsiaTheme="minorEastAsia" w:cstheme="minorBidi"/>
          <w:spacing w:val="0"/>
          <w:sz w:val="21"/>
        </w:rPr>
      </w:pPr>
      <w:r>
        <w:fldChar w:fldCharType="begin"/>
      </w:r>
      <w:r>
        <w:instrText xml:space="preserve"> HYPERLINK \l "_Toc491438400" </w:instrText>
      </w:r>
      <w:r>
        <w:fldChar w:fldCharType="separate"/>
      </w:r>
      <w:r>
        <w:rPr>
          <w:rStyle w:val="21"/>
          <w:rFonts w:hint="eastAsia"/>
        </w:rPr>
        <w:t>绩效评价报告正文</w:t>
      </w:r>
      <w:r>
        <w:tab/>
      </w:r>
      <w:r>
        <w:rPr>
          <w:rFonts w:hint="eastAsia"/>
        </w:rPr>
        <w:t>6</w:t>
      </w:r>
      <w:r>
        <w:rPr>
          <w:rFonts w:hint="eastAsia"/>
        </w:rPr>
        <w:fldChar w:fldCharType="end"/>
      </w:r>
    </w:p>
    <w:p>
      <w:pPr>
        <w:pStyle w:val="15"/>
        <w:rPr>
          <w:rFonts w:eastAsiaTheme="minorEastAsia" w:cstheme="minorBidi"/>
          <w:spacing w:val="0"/>
          <w:sz w:val="21"/>
        </w:rPr>
      </w:pPr>
      <w:r>
        <w:fldChar w:fldCharType="begin"/>
      </w:r>
      <w:r>
        <w:instrText xml:space="preserve"> HYPERLINK \l "_Toc491438401" </w:instrText>
      </w:r>
      <w:r>
        <w:fldChar w:fldCharType="separate"/>
      </w:r>
      <w:r>
        <w:rPr>
          <w:rStyle w:val="21"/>
          <w:rFonts w:hint="eastAsia"/>
        </w:rPr>
        <w:t>一、项目基本情况</w:t>
      </w:r>
      <w:r>
        <w:tab/>
      </w:r>
      <w:r>
        <w:rPr>
          <w:rFonts w:hint="eastAsia"/>
        </w:rPr>
        <w:t>6</w:t>
      </w:r>
      <w:r>
        <w:rPr>
          <w:rFonts w:hint="eastAsia"/>
        </w:rPr>
        <w:fldChar w:fldCharType="end"/>
      </w:r>
    </w:p>
    <w:p>
      <w:pPr>
        <w:pStyle w:val="8"/>
      </w:pPr>
      <w:r>
        <w:fldChar w:fldCharType="begin"/>
      </w:r>
      <w:r>
        <w:instrText xml:space="preserve"> HYPERLINK \l "_Toc491438402" </w:instrText>
      </w:r>
      <w:r>
        <w:fldChar w:fldCharType="separate"/>
      </w:r>
      <w:r>
        <w:rPr>
          <w:rStyle w:val="21"/>
          <w:rFonts w:hint="eastAsia"/>
        </w:rPr>
        <w:t>（一）项目概况</w:t>
      </w:r>
      <w:r>
        <w:tab/>
      </w:r>
      <w:r>
        <w:rPr>
          <w:rFonts w:hint="eastAsia"/>
        </w:rPr>
        <w:t>6</w:t>
      </w:r>
      <w:r>
        <w:rPr>
          <w:rFonts w:hint="eastAsia"/>
        </w:rPr>
        <w:fldChar w:fldCharType="end"/>
      </w:r>
    </w:p>
    <w:p>
      <w:pPr>
        <w:pStyle w:val="8"/>
        <w:rPr>
          <w:rFonts w:eastAsiaTheme="minorEastAsia" w:cstheme="minorBidi"/>
          <w:kern w:val="2"/>
          <w:sz w:val="21"/>
        </w:rPr>
      </w:pPr>
      <w:r>
        <w:fldChar w:fldCharType="begin"/>
      </w:r>
      <w:r>
        <w:instrText xml:space="preserve"> HYPERLINK \l "_Toc491438402" </w:instrText>
      </w:r>
      <w:r>
        <w:fldChar w:fldCharType="separate"/>
      </w:r>
      <w:r>
        <w:rPr>
          <w:rStyle w:val="21"/>
          <w:rFonts w:hint="eastAsia"/>
        </w:rPr>
        <w:t>（二）项目绩效目标</w:t>
      </w:r>
      <w:r>
        <w:tab/>
      </w:r>
      <w:r>
        <w:rPr>
          <w:rFonts w:hint="eastAsia"/>
        </w:rPr>
        <w:t>7</w:t>
      </w:r>
      <w:r>
        <w:rPr>
          <w:rFonts w:hint="eastAsia"/>
        </w:rPr>
        <w:fldChar w:fldCharType="end"/>
      </w:r>
    </w:p>
    <w:p>
      <w:pPr>
        <w:pStyle w:val="8"/>
        <w:rPr>
          <w:rFonts w:eastAsiaTheme="minorEastAsia" w:cstheme="minorBidi"/>
          <w:kern w:val="2"/>
          <w:sz w:val="21"/>
        </w:rPr>
      </w:pPr>
      <w:r>
        <w:fldChar w:fldCharType="begin"/>
      </w:r>
      <w:r>
        <w:instrText xml:space="preserve"> HYPERLINK \l "_Toc491438402" </w:instrText>
      </w:r>
      <w:r>
        <w:fldChar w:fldCharType="separate"/>
      </w:r>
      <w:r>
        <w:rPr>
          <w:rStyle w:val="21"/>
          <w:rFonts w:hint="eastAsia"/>
        </w:rPr>
        <w:t>（三）项目预算</w:t>
      </w:r>
      <w:r>
        <w:tab/>
      </w:r>
      <w:r>
        <w:rPr>
          <w:rFonts w:hint="eastAsia"/>
        </w:rPr>
        <w:t>7</w:t>
      </w:r>
      <w:r>
        <w:rPr>
          <w:rFonts w:hint="eastAsia"/>
        </w:rPr>
        <w:fldChar w:fldCharType="end"/>
      </w:r>
    </w:p>
    <w:p>
      <w:pPr>
        <w:pStyle w:val="8"/>
        <w:rPr>
          <w:rFonts w:eastAsiaTheme="minorEastAsia" w:cstheme="minorBidi"/>
          <w:kern w:val="2"/>
          <w:sz w:val="21"/>
        </w:rPr>
      </w:pPr>
      <w:r>
        <w:fldChar w:fldCharType="begin"/>
      </w:r>
      <w:r>
        <w:instrText xml:space="preserve"> HYPERLINK \l "_Toc491438403" </w:instrText>
      </w:r>
      <w:r>
        <w:fldChar w:fldCharType="separate"/>
      </w:r>
      <w:r>
        <w:rPr>
          <w:rStyle w:val="21"/>
          <w:rFonts w:hint="eastAsia"/>
        </w:rPr>
        <w:t>（四）项目计划实施内容</w:t>
      </w:r>
      <w:r>
        <w:tab/>
      </w:r>
      <w:r>
        <w:fldChar w:fldCharType="begin"/>
      </w:r>
      <w:r>
        <w:instrText xml:space="preserve"> PAGEREF _Toc491438403 \h </w:instrText>
      </w:r>
      <w:r>
        <w:fldChar w:fldCharType="separate"/>
      </w:r>
      <w:r>
        <w:t>7</w:t>
      </w:r>
      <w:r>
        <w:fldChar w:fldCharType="end"/>
      </w:r>
      <w:r>
        <w:fldChar w:fldCharType="end"/>
      </w:r>
    </w:p>
    <w:p>
      <w:pPr>
        <w:pStyle w:val="8"/>
        <w:rPr>
          <w:rFonts w:eastAsiaTheme="minorEastAsia" w:cstheme="minorBidi"/>
          <w:kern w:val="2"/>
          <w:sz w:val="21"/>
        </w:rPr>
      </w:pPr>
      <w:r>
        <w:fldChar w:fldCharType="begin"/>
      </w:r>
      <w:r>
        <w:instrText xml:space="preserve"> HYPERLINK \l "_Toc491438404" </w:instrText>
      </w:r>
      <w:r>
        <w:fldChar w:fldCharType="separate"/>
      </w:r>
      <w:r>
        <w:rPr>
          <w:rStyle w:val="21"/>
          <w:rFonts w:hint="eastAsia"/>
        </w:rPr>
        <w:t>（五）项目组织管理</w:t>
      </w:r>
      <w:r>
        <w:tab/>
      </w:r>
      <w:r>
        <w:fldChar w:fldCharType="begin"/>
      </w:r>
      <w:r>
        <w:instrText xml:space="preserve"> PAGEREF _Toc491438404 \h </w:instrText>
      </w:r>
      <w:r>
        <w:fldChar w:fldCharType="separate"/>
      </w:r>
      <w:r>
        <w:t>7</w:t>
      </w:r>
      <w:r>
        <w:fldChar w:fldCharType="end"/>
      </w:r>
      <w:r>
        <w:fldChar w:fldCharType="end"/>
      </w:r>
    </w:p>
    <w:p>
      <w:pPr>
        <w:pStyle w:val="15"/>
        <w:rPr>
          <w:rFonts w:eastAsiaTheme="minorEastAsia" w:cstheme="minorBidi"/>
          <w:spacing w:val="0"/>
          <w:sz w:val="21"/>
        </w:rPr>
      </w:pPr>
      <w:r>
        <w:fldChar w:fldCharType="begin"/>
      </w:r>
      <w:r>
        <w:instrText xml:space="preserve"> HYPERLINK \l "_Toc491438405" </w:instrText>
      </w:r>
      <w:r>
        <w:fldChar w:fldCharType="separate"/>
      </w:r>
      <w:r>
        <w:rPr>
          <w:rStyle w:val="21"/>
          <w:rFonts w:hint="eastAsia"/>
        </w:rPr>
        <w:t>二、绩效评价情况</w:t>
      </w:r>
      <w:r>
        <w:tab/>
      </w:r>
      <w:r>
        <w:fldChar w:fldCharType="begin"/>
      </w:r>
      <w:r>
        <w:instrText xml:space="preserve"> PAGEREF _Toc491438405 \h </w:instrText>
      </w:r>
      <w:r>
        <w:fldChar w:fldCharType="separate"/>
      </w:r>
      <w:r>
        <w:t>8</w:t>
      </w:r>
      <w:r>
        <w:fldChar w:fldCharType="end"/>
      </w:r>
      <w:r>
        <w:fldChar w:fldCharType="end"/>
      </w:r>
    </w:p>
    <w:p>
      <w:pPr>
        <w:pStyle w:val="8"/>
        <w:rPr>
          <w:rFonts w:eastAsiaTheme="minorEastAsia" w:cstheme="minorBidi"/>
          <w:kern w:val="2"/>
          <w:sz w:val="21"/>
        </w:rPr>
      </w:pPr>
      <w:r>
        <w:fldChar w:fldCharType="begin"/>
      </w:r>
      <w:r>
        <w:instrText xml:space="preserve"> HYPERLINK \l "_Toc491438406" </w:instrText>
      </w:r>
      <w:r>
        <w:fldChar w:fldCharType="separate"/>
      </w:r>
      <w:r>
        <w:rPr>
          <w:rStyle w:val="21"/>
          <w:rFonts w:hint="eastAsia"/>
        </w:rPr>
        <w:t>（一）评价目的</w:t>
      </w:r>
      <w:r>
        <w:tab/>
      </w:r>
      <w:r>
        <w:fldChar w:fldCharType="begin"/>
      </w:r>
      <w:r>
        <w:instrText xml:space="preserve"> PAGEREF _Toc491438406 \h </w:instrText>
      </w:r>
      <w:r>
        <w:fldChar w:fldCharType="separate"/>
      </w:r>
      <w:r>
        <w:t>8</w:t>
      </w:r>
      <w:r>
        <w:fldChar w:fldCharType="end"/>
      </w:r>
      <w:r>
        <w:fldChar w:fldCharType="end"/>
      </w:r>
    </w:p>
    <w:p>
      <w:pPr>
        <w:pStyle w:val="8"/>
        <w:rPr>
          <w:rFonts w:eastAsiaTheme="minorEastAsia" w:cstheme="minorBidi"/>
          <w:kern w:val="2"/>
          <w:sz w:val="21"/>
        </w:rPr>
      </w:pPr>
      <w:r>
        <w:fldChar w:fldCharType="begin"/>
      </w:r>
      <w:r>
        <w:instrText xml:space="preserve"> HYPERLINK \l "_Toc491438407" </w:instrText>
      </w:r>
      <w:r>
        <w:fldChar w:fldCharType="separate"/>
      </w:r>
      <w:r>
        <w:rPr>
          <w:rStyle w:val="21"/>
          <w:rFonts w:hint="eastAsia"/>
        </w:rPr>
        <w:t>（二）评价对象与范围</w:t>
      </w:r>
      <w:r>
        <w:tab/>
      </w:r>
      <w:r>
        <w:fldChar w:fldCharType="begin"/>
      </w:r>
      <w:r>
        <w:instrText xml:space="preserve"> PAGEREF _Toc491438407 \h </w:instrText>
      </w:r>
      <w:r>
        <w:fldChar w:fldCharType="separate"/>
      </w:r>
      <w:r>
        <w:t>8</w:t>
      </w:r>
      <w:r>
        <w:fldChar w:fldCharType="end"/>
      </w:r>
      <w:r>
        <w:fldChar w:fldCharType="end"/>
      </w:r>
    </w:p>
    <w:p>
      <w:pPr>
        <w:pStyle w:val="8"/>
        <w:rPr>
          <w:rFonts w:eastAsiaTheme="minorEastAsia" w:cstheme="minorBidi"/>
          <w:kern w:val="2"/>
          <w:sz w:val="21"/>
        </w:rPr>
      </w:pPr>
      <w:r>
        <w:fldChar w:fldCharType="begin"/>
      </w:r>
      <w:r>
        <w:instrText xml:space="preserve"> HYPERLINK \l "_Toc491438408" </w:instrText>
      </w:r>
      <w:r>
        <w:fldChar w:fldCharType="separate"/>
      </w:r>
      <w:r>
        <w:rPr>
          <w:rStyle w:val="21"/>
          <w:rFonts w:hint="eastAsia"/>
        </w:rPr>
        <w:t>（三）评价依据</w:t>
      </w:r>
      <w:r>
        <w:tab/>
      </w:r>
      <w:r>
        <w:rPr>
          <w:rFonts w:hint="eastAsia"/>
        </w:rPr>
        <w:t>9</w:t>
      </w:r>
      <w:r>
        <w:rPr>
          <w:rFonts w:hint="eastAsia"/>
        </w:rPr>
        <w:fldChar w:fldCharType="end"/>
      </w:r>
    </w:p>
    <w:p>
      <w:pPr>
        <w:pStyle w:val="8"/>
        <w:rPr>
          <w:rFonts w:eastAsiaTheme="minorEastAsia" w:cstheme="minorBidi"/>
          <w:kern w:val="2"/>
          <w:sz w:val="21"/>
        </w:rPr>
      </w:pPr>
      <w:r>
        <w:fldChar w:fldCharType="begin"/>
      </w:r>
      <w:r>
        <w:instrText xml:space="preserve"> HYPERLINK \l "_Toc491438409" </w:instrText>
      </w:r>
      <w:r>
        <w:fldChar w:fldCharType="separate"/>
      </w:r>
      <w:r>
        <w:rPr>
          <w:rStyle w:val="21"/>
          <w:rFonts w:hint="eastAsia"/>
        </w:rPr>
        <w:t>（四）评价原则、评价方法</w:t>
      </w:r>
      <w:r>
        <w:tab/>
      </w:r>
      <w:r>
        <w:fldChar w:fldCharType="begin"/>
      </w:r>
      <w:r>
        <w:instrText xml:space="preserve"> PAGEREF _Toc491438409 \h </w:instrText>
      </w:r>
      <w:r>
        <w:fldChar w:fldCharType="separate"/>
      </w:r>
      <w:r>
        <w:t>9</w:t>
      </w:r>
      <w:r>
        <w:fldChar w:fldCharType="end"/>
      </w:r>
      <w:r>
        <w:fldChar w:fldCharType="end"/>
      </w:r>
    </w:p>
    <w:p>
      <w:pPr>
        <w:pStyle w:val="8"/>
        <w:rPr>
          <w:rFonts w:eastAsiaTheme="minorEastAsia" w:cstheme="minorBidi"/>
          <w:kern w:val="2"/>
          <w:sz w:val="21"/>
        </w:rPr>
      </w:pPr>
      <w:r>
        <w:fldChar w:fldCharType="begin"/>
      </w:r>
      <w:r>
        <w:instrText xml:space="preserve"> HYPERLINK \l "_Toc491438410" </w:instrText>
      </w:r>
      <w:r>
        <w:fldChar w:fldCharType="separate"/>
      </w:r>
      <w:r>
        <w:rPr>
          <w:rStyle w:val="21"/>
          <w:rFonts w:hint="eastAsia"/>
        </w:rPr>
        <w:t>（五）绩效评价指标体系</w:t>
      </w:r>
      <w:r>
        <w:tab/>
      </w:r>
      <w:r>
        <w:fldChar w:fldCharType="begin"/>
      </w:r>
      <w:r>
        <w:instrText xml:space="preserve"> PAGEREF _Toc491438410 \h </w:instrText>
      </w:r>
      <w:r>
        <w:fldChar w:fldCharType="separate"/>
      </w:r>
      <w:r>
        <w:t>9</w:t>
      </w:r>
      <w:r>
        <w:fldChar w:fldCharType="end"/>
      </w:r>
      <w:r>
        <w:fldChar w:fldCharType="end"/>
      </w:r>
    </w:p>
    <w:p>
      <w:pPr>
        <w:pStyle w:val="8"/>
        <w:rPr>
          <w:rFonts w:eastAsiaTheme="minorEastAsia" w:cstheme="minorBidi"/>
          <w:kern w:val="2"/>
          <w:sz w:val="21"/>
        </w:rPr>
      </w:pPr>
      <w:r>
        <w:fldChar w:fldCharType="begin"/>
      </w:r>
      <w:r>
        <w:instrText xml:space="preserve"> HYPERLINK \l "_Toc491438411" </w:instrText>
      </w:r>
      <w:r>
        <w:fldChar w:fldCharType="separate"/>
      </w:r>
      <w:r>
        <w:rPr>
          <w:rStyle w:val="21"/>
          <w:rFonts w:hint="eastAsia"/>
        </w:rPr>
        <w:t>（六）评价人员及工作安排</w:t>
      </w:r>
      <w:r>
        <w:tab/>
      </w:r>
      <w:r>
        <w:rPr>
          <w:rFonts w:hint="eastAsia"/>
        </w:rPr>
        <w:t>1</w:t>
      </w:r>
      <w:r>
        <w:rPr>
          <w:rFonts w:hint="eastAsia"/>
        </w:rPr>
        <w:fldChar w:fldCharType="end"/>
      </w:r>
      <w:r>
        <w:rPr>
          <w:rFonts w:hint="eastAsia"/>
        </w:rPr>
        <w:t>1</w:t>
      </w:r>
    </w:p>
    <w:p>
      <w:pPr>
        <w:pStyle w:val="8"/>
        <w:rPr>
          <w:rFonts w:eastAsiaTheme="minorEastAsia" w:cstheme="minorBidi"/>
          <w:kern w:val="2"/>
          <w:sz w:val="21"/>
        </w:rPr>
      </w:pPr>
      <w:r>
        <w:fldChar w:fldCharType="begin"/>
      </w:r>
      <w:r>
        <w:instrText xml:space="preserve"> HYPERLINK \l "_Toc491438412" </w:instrText>
      </w:r>
      <w:r>
        <w:fldChar w:fldCharType="separate"/>
      </w:r>
      <w:r>
        <w:rPr>
          <w:rStyle w:val="21"/>
          <w:rFonts w:hint="eastAsia"/>
        </w:rPr>
        <w:t>（七）绩效评价工作过程</w:t>
      </w:r>
      <w:r>
        <w:tab/>
      </w:r>
      <w:r>
        <w:rPr>
          <w:rFonts w:hint="eastAsia"/>
        </w:rPr>
        <w:t>1</w:t>
      </w:r>
      <w:r>
        <w:rPr>
          <w:rFonts w:hint="eastAsia"/>
        </w:rPr>
        <w:fldChar w:fldCharType="end"/>
      </w:r>
      <w:r>
        <w:rPr>
          <w:rFonts w:hint="eastAsia"/>
        </w:rPr>
        <w:t>2</w:t>
      </w:r>
    </w:p>
    <w:p>
      <w:pPr>
        <w:pStyle w:val="15"/>
        <w:rPr>
          <w:rFonts w:eastAsiaTheme="minorEastAsia" w:cstheme="minorBidi"/>
          <w:spacing w:val="0"/>
          <w:sz w:val="21"/>
        </w:rPr>
      </w:pPr>
      <w:r>
        <w:fldChar w:fldCharType="begin"/>
      </w:r>
      <w:r>
        <w:instrText xml:space="preserve"> HYPERLINK \l "_Toc491438413" </w:instrText>
      </w:r>
      <w:r>
        <w:fldChar w:fldCharType="separate"/>
      </w:r>
      <w:r>
        <w:rPr>
          <w:rStyle w:val="21"/>
          <w:rFonts w:hint="eastAsia"/>
        </w:rPr>
        <w:t>三、评价结论及分析</w:t>
      </w:r>
      <w:r>
        <w:tab/>
      </w:r>
      <w:r>
        <w:rPr>
          <w:rFonts w:hint="eastAsia"/>
        </w:rPr>
        <w:t>1</w:t>
      </w:r>
      <w:r>
        <w:rPr>
          <w:rFonts w:hint="eastAsia"/>
        </w:rPr>
        <w:fldChar w:fldCharType="end"/>
      </w:r>
      <w:r>
        <w:rPr>
          <w:rFonts w:hint="eastAsia"/>
        </w:rPr>
        <w:t>3</w:t>
      </w:r>
    </w:p>
    <w:p>
      <w:pPr>
        <w:pStyle w:val="8"/>
        <w:rPr>
          <w:rFonts w:eastAsiaTheme="minorEastAsia" w:cstheme="minorBidi"/>
          <w:kern w:val="2"/>
          <w:sz w:val="21"/>
        </w:rPr>
      </w:pPr>
      <w:r>
        <w:fldChar w:fldCharType="begin"/>
      </w:r>
      <w:r>
        <w:instrText xml:space="preserve"> HYPERLINK \l "_Toc491438414" </w:instrText>
      </w:r>
      <w:r>
        <w:fldChar w:fldCharType="separate"/>
      </w:r>
      <w:r>
        <w:rPr>
          <w:rStyle w:val="21"/>
          <w:rFonts w:hint="eastAsia"/>
        </w:rPr>
        <w:t>（一）非现场评价情况分析</w:t>
      </w:r>
      <w:r>
        <w:tab/>
      </w:r>
      <w:r>
        <w:fldChar w:fldCharType="begin"/>
      </w:r>
      <w:r>
        <w:instrText xml:space="preserve"> PAGEREF _Toc491438414 \h </w:instrText>
      </w:r>
      <w:r>
        <w:fldChar w:fldCharType="separate"/>
      </w:r>
      <w:r>
        <w:t>14</w:t>
      </w:r>
      <w:r>
        <w:fldChar w:fldCharType="end"/>
      </w:r>
      <w:r>
        <w:fldChar w:fldCharType="end"/>
      </w:r>
    </w:p>
    <w:p>
      <w:pPr>
        <w:pStyle w:val="8"/>
        <w:rPr>
          <w:rFonts w:eastAsiaTheme="minorEastAsia" w:cstheme="minorBidi"/>
          <w:kern w:val="2"/>
          <w:sz w:val="21"/>
        </w:rPr>
      </w:pPr>
      <w:r>
        <w:fldChar w:fldCharType="begin"/>
      </w:r>
      <w:r>
        <w:instrText xml:space="preserve"> HYPERLINK \l "_Toc491438415" </w:instrText>
      </w:r>
      <w:r>
        <w:fldChar w:fldCharType="separate"/>
      </w:r>
      <w:r>
        <w:rPr>
          <w:rStyle w:val="21"/>
          <w:rFonts w:hint="eastAsia"/>
        </w:rPr>
        <w:t>（二）现场评价情况分析</w:t>
      </w:r>
      <w:r>
        <w:tab/>
      </w:r>
      <w:r>
        <w:fldChar w:fldCharType="begin"/>
      </w:r>
      <w:r>
        <w:instrText xml:space="preserve"> PAGEREF _Toc491438415 \h </w:instrText>
      </w:r>
      <w:r>
        <w:fldChar w:fldCharType="separate"/>
      </w:r>
      <w:r>
        <w:t>14</w:t>
      </w:r>
      <w:r>
        <w:fldChar w:fldCharType="end"/>
      </w:r>
      <w:r>
        <w:fldChar w:fldCharType="end"/>
      </w:r>
    </w:p>
    <w:p>
      <w:pPr>
        <w:pStyle w:val="8"/>
        <w:rPr>
          <w:rFonts w:eastAsiaTheme="minorEastAsia" w:cstheme="minorBidi"/>
          <w:kern w:val="2"/>
          <w:sz w:val="21"/>
        </w:rPr>
      </w:pPr>
      <w:r>
        <w:fldChar w:fldCharType="begin"/>
      </w:r>
      <w:r>
        <w:instrText xml:space="preserve"> HYPERLINK \l "_Toc491438416" </w:instrText>
      </w:r>
      <w:r>
        <w:fldChar w:fldCharType="separate"/>
      </w:r>
      <w:r>
        <w:rPr>
          <w:rStyle w:val="21"/>
          <w:rFonts w:hint="eastAsia"/>
        </w:rPr>
        <w:t>（三）综合评价结论及分析</w:t>
      </w:r>
      <w:r>
        <w:tab/>
      </w:r>
      <w:r>
        <w:fldChar w:fldCharType="begin"/>
      </w:r>
      <w:r>
        <w:instrText xml:space="preserve"> PAGEREF _Toc491438416 \h </w:instrText>
      </w:r>
      <w:r>
        <w:fldChar w:fldCharType="separate"/>
      </w:r>
      <w:r>
        <w:t>14</w:t>
      </w:r>
      <w:r>
        <w:fldChar w:fldCharType="end"/>
      </w:r>
      <w:r>
        <w:fldChar w:fldCharType="end"/>
      </w:r>
    </w:p>
    <w:p>
      <w:pPr>
        <w:pStyle w:val="15"/>
        <w:rPr>
          <w:rFonts w:eastAsiaTheme="minorEastAsia" w:cstheme="minorBidi"/>
          <w:spacing w:val="0"/>
          <w:sz w:val="21"/>
        </w:rPr>
      </w:pPr>
      <w:r>
        <w:fldChar w:fldCharType="begin"/>
      </w:r>
      <w:r>
        <w:instrText xml:space="preserve"> HYPERLINK \l "_Toc491438417" </w:instrText>
      </w:r>
      <w:r>
        <w:fldChar w:fldCharType="separate"/>
      </w:r>
      <w:r>
        <w:rPr>
          <w:rStyle w:val="21"/>
          <w:rFonts w:hint="eastAsia" w:ascii="黑体" w:hAnsi="黑体"/>
        </w:rPr>
        <w:t>四、项目主要绩效</w:t>
      </w:r>
      <w:r>
        <w:tab/>
      </w:r>
      <w:r>
        <w:fldChar w:fldCharType="begin"/>
      </w:r>
      <w:r>
        <w:instrText xml:space="preserve"> PAGEREF _Toc491438417 \h </w:instrText>
      </w:r>
      <w:r>
        <w:fldChar w:fldCharType="separate"/>
      </w:r>
      <w:r>
        <w:t>16</w:t>
      </w:r>
      <w:r>
        <w:fldChar w:fldCharType="end"/>
      </w:r>
      <w:r>
        <w:fldChar w:fldCharType="end"/>
      </w:r>
    </w:p>
    <w:p>
      <w:pPr>
        <w:pStyle w:val="15"/>
        <w:rPr>
          <w:rFonts w:eastAsiaTheme="minorEastAsia" w:cstheme="minorBidi"/>
          <w:spacing w:val="0"/>
          <w:sz w:val="21"/>
        </w:rPr>
      </w:pPr>
      <w:r>
        <w:fldChar w:fldCharType="begin"/>
      </w:r>
      <w:r>
        <w:instrText xml:space="preserve"> HYPERLINK \l "_Toc491438418" </w:instrText>
      </w:r>
      <w:r>
        <w:fldChar w:fldCharType="separate"/>
      </w:r>
      <w:r>
        <w:rPr>
          <w:rStyle w:val="21"/>
          <w:rFonts w:hint="eastAsia" w:ascii="黑体" w:hAnsi="黑体"/>
        </w:rPr>
        <w:t>五、项目存在的主要问题</w:t>
      </w:r>
      <w:r>
        <w:tab/>
      </w:r>
      <w:r>
        <w:fldChar w:fldCharType="begin"/>
      </w:r>
      <w:r>
        <w:instrText xml:space="preserve"> PAGEREF _Toc491438418 \h </w:instrText>
      </w:r>
      <w:r>
        <w:fldChar w:fldCharType="separate"/>
      </w:r>
      <w:r>
        <w:t>16</w:t>
      </w:r>
      <w:r>
        <w:fldChar w:fldCharType="end"/>
      </w:r>
      <w:r>
        <w:fldChar w:fldCharType="end"/>
      </w:r>
    </w:p>
    <w:p>
      <w:pPr>
        <w:pStyle w:val="15"/>
        <w:rPr>
          <w:rFonts w:eastAsiaTheme="minorEastAsia" w:cstheme="minorBidi"/>
          <w:spacing w:val="0"/>
          <w:sz w:val="21"/>
        </w:rPr>
      </w:pPr>
      <w:r>
        <w:fldChar w:fldCharType="begin"/>
      </w:r>
      <w:r>
        <w:instrText xml:space="preserve"> HYPERLINK \l "_Toc491438419" </w:instrText>
      </w:r>
      <w:r>
        <w:fldChar w:fldCharType="separate"/>
      </w:r>
      <w:r>
        <w:rPr>
          <w:rStyle w:val="21"/>
          <w:rFonts w:hint="eastAsia" w:ascii="黑体" w:hAnsi="黑体"/>
        </w:rPr>
        <w:t>六、意见建议</w:t>
      </w:r>
      <w:r>
        <w:tab/>
      </w:r>
      <w:r>
        <w:fldChar w:fldCharType="end"/>
      </w:r>
      <w:r>
        <w:rPr>
          <w:rFonts w:hint="eastAsia"/>
        </w:rPr>
        <w:t>16</w:t>
      </w:r>
    </w:p>
    <w:p>
      <w:pPr>
        <w:pStyle w:val="15"/>
        <w:rPr>
          <w:rFonts w:eastAsiaTheme="minorEastAsia" w:cstheme="minorBidi"/>
          <w:spacing w:val="0"/>
          <w:sz w:val="21"/>
        </w:rPr>
      </w:pPr>
      <w:r>
        <w:fldChar w:fldCharType="begin"/>
      </w:r>
      <w:r>
        <w:instrText xml:space="preserve"> HYPERLINK \l "_Toc491438420" </w:instrText>
      </w:r>
      <w:r>
        <w:fldChar w:fldCharType="separate"/>
      </w:r>
      <w:r>
        <w:rPr>
          <w:rStyle w:val="21"/>
          <w:rFonts w:hint="eastAsia"/>
        </w:rPr>
        <w:t>七、需要说明的事项</w:t>
      </w:r>
      <w:r>
        <w:tab/>
      </w:r>
      <w:r>
        <w:fldChar w:fldCharType="begin"/>
      </w:r>
      <w:r>
        <w:instrText xml:space="preserve"> PAGEREF _Toc491438420 \h </w:instrText>
      </w:r>
      <w:r>
        <w:fldChar w:fldCharType="separate"/>
      </w:r>
      <w:r>
        <w:t>16</w:t>
      </w:r>
      <w:r>
        <w:fldChar w:fldCharType="end"/>
      </w:r>
      <w:r>
        <w:fldChar w:fldCharType="end"/>
      </w:r>
    </w:p>
    <w:p>
      <w:pPr>
        <w:pStyle w:val="15"/>
        <w:rPr>
          <w:rFonts w:eastAsiaTheme="minorEastAsia" w:cstheme="minorBidi"/>
          <w:spacing w:val="0"/>
          <w:sz w:val="21"/>
        </w:rPr>
      </w:pPr>
      <w:r>
        <w:fldChar w:fldCharType="begin"/>
      </w:r>
      <w:r>
        <w:instrText xml:space="preserve"> HYPERLINK \l "_Toc491438421" </w:instrText>
      </w:r>
      <w:r>
        <w:fldChar w:fldCharType="separate"/>
      </w:r>
      <w:r>
        <w:rPr>
          <w:rStyle w:val="21"/>
          <w:rFonts w:hint="eastAsia"/>
        </w:rPr>
        <w:t>附件</w:t>
      </w:r>
      <w:r>
        <w:rPr>
          <w:rStyle w:val="21"/>
        </w:rPr>
        <w:t>1</w:t>
      </w:r>
      <w:r>
        <w:rPr>
          <w:rStyle w:val="21"/>
          <w:rFonts w:hint="eastAsia"/>
        </w:rPr>
        <w:t>绩效评价工作底稿</w:t>
      </w:r>
      <w:r>
        <w:tab/>
      </w:r>
      <w:r>
        <w:fldChar w:fldCharType="begin"/>
      </w:r>
      <w:r>
        <w:instrText xml:space="preserve"> PAGEREF _Toc491438421 \h </w:instrText>
      </w:r>
      <w:r>
        <w:fldChar w:fldCharType="separate"/>
      </w:r>
      <w:r>
        <w:t>18</w:t>
      </w:r>
      <w:r>
        <w:fldChar w:fldCharType="end"/>
      </w:r>
      <w:r>
        <w:fldChar w:fldCharType="end"/>
      </w:r>
    </w:p>
    <w:p>
      <w:pPr>
        <w:pStyle w:val="15"/>
        <w:rPr>
          <w:rFonts w:eastAsiaTheme="minorEastAsia" w:cstheme="minorBidi"/>
          <w:spacing w:val="0"/>
          <w:sz w:val="21"/>
        </w:rPr>
      </w:pPr>
      <w:r>
        <w:fldChar w:fldCharType="begin"/>
      </w:r>
      <w:r>
        <w:instrText xml:space="preserve"> HYPERLINK \l "_Toc491438422" </w:instrText>
      </w:r>
      <w:r>
        <w:fldChar w:fldCharType="separate"/>
      </w:r>
      <w:r>
        <w:rPr>
          <w:rStyle w:val="21"/>
          <w:rFonts w:hint="eastAsia"/>
        </w:rPr>
        <w:t>附件</w:t>
      </w:r>
      <w:r>
        <w:rPr>
          <w:rStyle w:val="21"/>
        </w:rPr>
        <w:t>2</w:t>
      </w:r>
      <w:r>
        <w:rPr>
          <w:rStyle w:val="21"/>
          <w:rFonts w:hint="eastAsia"/>
        </w:rPr>
        <w:t>调查问卷设计及统计</w:t>
      </w:r>
      <w:r>
        <w:tab/>
      </w:r>
      <w:r>
        <w:fldChar w:fldCharType="end"/>
      </w:r>
      <w:r>
        <w:rPr>
          <w:rFonts w:hint="eastAsia"/>
        </w:rPr>
        <w:t>23</w:t>
      </w:r>
    </w:p>
    <w:p>
      <w:pPr>
        <w:pStyle w:val="15"/>
        <w:rPr>
          <w:rFonts w:eastAsiaTheme="minorEastAsia" w:cstheme="minorBidi"/>
          <w:spacing w:val="0"/>
          <w:sz w:val="21"/>
        </w:rPr>
      </w:pPr>
      <w:r>
        <w:fldChar w:fldCharType="begin"/>
      </w:r>
      <w:r>
        <w:instrText xml:space="preserve"> HYPERLINK \l "_Toc491438423" </w:instrText>
      </w:r>
      <w:r>
        <w:fldChar w:fldCharType="separate"/>
      </w:r>
      <w:r>
        <w:rPr>
          <w:rStyle w:val="21"/>
          <w:rFonts w:hint="eastAsia"/>
        </w:rPr>
        <w:t>附件</w:t>
      </w:r>
      <w:r>
        <w:rPr>
          <w:rStyle w:val="21"/>
        </w:rPr>
        <w:t>3</w:t>
      </w:r>
      <w:r>
        <w:rPr>
          <w:rStyle w:val="21"/>
          <w:rFonts w:hint="eastAsia"/>
        </w:rPr>
        <w:t>绩效评价得分表</w:t>
      </w:r>
      <w:r>
        <w:tab/>
      </w:r>
      <w:r>
        <w:fldChar w:fldCharType="end"/>
      </w:r>
      <w:r>
        <w:rPr>
          <w:rFonts w:hint="eastAsia"/>
        </w:rPr>
        <w:t>26</w:t>
      </w:r>
    </w:p>
    <w:p>
      <w:pPr>
        <w:pStyle w:val="15"/>
        <w:rPr>
          <w:rFonts w:eastAsiaTheme="minorEastAsia" w:cstheme="minorBidi"/>
          <w:spacing w:val="0"/>
          <w:sz w:val="21"/>
        </w:rPr>
      </w:pPr>
      <w:r>
        <w:fldChar w:fldCharType="begin"/>
      </w:r>
      <w:r>
        <w:instrText xml:space="preserve"> HYPERLINK \l "_Toc491438424" </w:instrText>
      </w:r>
      <w:r>
        <w:fldChar w:fldCharType="separate"/>
      </w:r>
      <w:r>
        <w:rPr>
          <w:rStyle w:val="21"/>
          <w:rFonts w:hint="eastAsia"/>
        </w:rPr>
        <w:t>附件</w:t>
      </w:r>
      <w:r>
        <w:rPr>
          <w:rStyle w:val="21"/>
        </w:rPr>
        <w:t>4</w:t>
      </w:r>
      <w:r>
        <w:rPr>
          <w:rStyle w:val="21"/>
          <w:rFonts w:hint="eastAsia"/>
        </w:rPr>
        <w:t>问题清单</w:t>
      </w:r>
      <w:r>
        <w:tab/>
      </w:r>
      <w:r>
        <w:fldChar w:fldCharType="end"/>
      </w:r>
      <w:r>
        <w:rPr>
          <w:rFonts w:hint="eastAsia"/>
        </w:rPr>
        <w:t>29</w:t>
      </w:r>
    </w:p>
    <w:p>
      <w:pPr>
        <w:ind w:firstLine="452" w:firstLineChars="100"/>
      </w:pPr>
      <w:r>
        <w:rPr>
          <w:rFonts w:ascii="方正小标宋简体" w:eastAsia="方正小标宋简体"/>
          <w:sz w:val="44"/>
          <w:szCs w:val="44"/>
        </w:rPr>
        <w:fldChar w:fldCharType="end"/>
      </w:r>
    </w:p>
    <w:p>
      <w:pPr>
        <w:pStyle w:val="28"/>
        <w:ind w:firstLine="3842" w:firstLineChars="850"/>
        <w:jc w:val="left"/>
        <w:rPr>
          <w:rFonts w:ascii="方正小标宋简体" w:eastAsia="方正小标宋简体"/>
          <w:sz w:val="44"/>
          <w:szCs w:val="44"/>
        </w:rPr>
      </w:pPr>
    </w:p>
    <w:p>
      <w:pPr>
        <w:pStyle w:val="28"/>
      </w:pPr>
    </w:p>
    <w:p>
      <w:pPr>
        <w:pStyle w:val="28"/>
      </w:pPr>
    </w:p>
    <w:p>
      <w:pPr>
        <w:pStyle w:val="28"/>
      </w:pPr>
    </w:p>
    <w:p>
      <w:pPr>
        <w:pStyle w:val="28"/>
      </w:pPr>
    </w:p>
    <w:p>
      <w:pPr>
        <w:pStyle w:val="28"/>
      </w:pPr>
    </w:p>
    <w:p>
      <w:pPr>
        <w:pStyle w:val="28"/>
      </w:pPr>
    </w:p>
    <w:p>
      <w:pPr>
        <w:pStyle w:val="29"/>
        <w:ind w:firstLine="2808" w:firstLineChars="900"/>
        <w:jc w:val="both"/>
        <w:rPr>
          <w:rFonts w:ascii="宋体" w:hAnsi="宋体" w:eastAsia="仿宋_GB2312" w:cs="Times New Roman"/>
          <w:b w:val="0"/>
          <w:bCs w:val="0"/>
          <w:spacing w:val="6"/>
          <w:kern w:val="2"/>
          <w:sz w:val="30"/>
          <w:szCs w:val="24"/>
        </w:rPr>
      </w:pPr>
    </w:p>
    <w:p>
      <w:pPr>
        <w:pStyle w:val="29"/>
      </w:pPr>
    </w:p>
    <w:p>
      <w:pPr>
        <w:pStyle w:val="29"/>
        <w:ind w:firstLine="3962" w:firstLineChars="900"/>
        <w:jc w:val="both"/>
      </w:pPr>
    </w:p>
    <w:p>
      <w:pPr>
        <w:pStyle w:val="28"/>
        <w:sectPr>
          <w:pgSz w:w="11906" w:h="16838"/>
          <w:pgMar w:top="1440" w:right="1797" w:bottom="1440" w:left="1797" w:header="851" w:footer="992" w:gutter="0"/>
          <w:pgNumType w:start="1"/>
          <w:cols w:space="425" w:num="1"/>
          <w:docGrid w:type="lines" w:linePitch="408" w:charSpace="0"/>
        </w:sectPr>
      </w:pPr>
    </w:p>
    <w:p>
      <w:pPr>
        <w:widowControl/>
        <w:autoSpaceDE/>
        <w:autoSpaceDN/>
        <w:adjustRightInd/>
        <w:snapToGrid/>
        <w:spacing w:line="240" w:lineRule="auto"/>
        <w:ind w:firstLine="3390" w:firstLineChars="750"/>
        <w:jc w:val="left"/>
        <w:rPr>
          <w:rFonts w:ascii="方正小标宋简体" w:eastAsia="方正小标宋简体"/>
          <w:sz w:val="44"/>
          <w:szCs w:val="44"/>
        </w:rPr>
      </w:pPr>
      <w:bookmarkStart w:id="9" w:name="_Toc491438394"/>
      <w:r>
        <w:rPr>
          <w:rFonts w:hint="eastAsia" w:ascii="方正小标宋简体" w:eastAsia="方正小标宋简体"/>
          <w:sz w:val="44"/>
          <w:szCs w:val="44"/>
        </w:rPr>
        <w:t>摘  要</w:t>
      </w:r>
      <w:bookmarkEnd w:id="6"/>
      <w:bookmarkEnd w:id="7"/>
      <w:bookmarkEnd w:id="8"/>
      <w:bookmarkEnd w:id="9"/>
      <w:bookmarkStart w:id="10" w:name="_Toc489949632"/>
    </w:p>
    <w:p>
      <w:pPr>
        <w:pStyle w:val="23"/>
        <w:spacing w:line="560" w:lineRule="exact"/>
        <w:ind w:firstLine="640"/>
      </w:pPr>
      <w:bookmarkStart w:id="11" w:name="_Toc491438395"/>
      <w:r>
        <w:rPr>
          <w:rFonts w:hint="eastAsia"/>
        </w:rPr>
        <w:t>一、项目概述</w:t>
      </w:r>
      <w:bookmarkEnd w:id="10"/>
      <w:bookmarkEnd w:id="11"/>
    </w:p>
    <w:p>
      <w:pPr>
        <w:pStyle w:val="22"/>
        <w:tabs>
          <w:tab w:val="left" w:pos="709"/>
          <w:tab w:val="left" w:pos="851"/>
          <w:tab w:val="left" w:pos="8220"/>
        </w:tabs>
        <w:spacing w:line="560" w:lineRule="exact"/>
        <w:ind w:firstLine="567" w:firstLineChars="0"/>
        <w:jc w:val="left"/>
        <w:outlineLvl w:val="1"/>
        <w:rPr>
          <w:rFonts w:ascii="仿宋_GB2312" w:hAnsi="楷体" w:eastAsia="仿宋_GB2312" w:cs="宋体"/>
          <w:kern w:val="0"/>
          <w:sz w:val="32"/>
          <w:szCs w:val="32"/>
        </w:rPr>
      </w:pPr>
      <w:r>
        <w:rPr>
          <w:rFonts w:hint="eastAsia" w:ascii="仿宋_GB2312" w:hAnsi="楷体" w:eastAsia="仿宋_GB2312" w:cs="宋体"/>
          <w:kern w:val="0"/>
          <w:sz w:val="32"/>
          <w:szCs w:val="32"/>
        </w:rPr>
        <w:t>枣庄市市中区周村水库是老城区城市水源地，全年供水1500万立方，负责保障城区40万人口饮用水供水需求，市区两级政府高度重视水库水源地保护，为持续恢复周村水库生态环境，提升渔业生产能力，加大水生生物资源的养护和修复力度，保护好水源地生态环境，治理周村水库水源地水质，保障城市水源地水质、恢复渔业资源、增加库区群众收入，根据山东省海洋与渔业厅&lt;山东省海洋与渔业厅关于印发《关于做好2018年度我省增殖放流工作的意见的通知》&gt;（鲁海渔函[2018]134号）在周村水库实施增殖放流项目。2018年中央财政补助专项资金20万元，用于周村水库增殖放流项目。</w:t>
      </w:r>
    </w:p>
    <w:p>
      <w:pPr>
        <w:pStyle w:val="23"/>
        <w:spacing w:line="560" w:lineRule="exact"/>
        <w:ind w:firstLine="640"/>
      </w:pPr>
      <w:bookmarkStart w:id="12" w:name="_Toc489949633"/>
      <w:bookmarkStart w:id="13" w:name="_Toc489005356"/>
      <w:bookmarkStart w:id="14" w:name="_Toc489005209"/>
      <w:bookmarkStart w:id="15" w:name="_Toc489015038"/>
      <w:bookmarkStart w:id="16" w:name="_Toc491438396"/>
      <w:r>
        <w:rPr>
          <w:rFonts w:hint="eastAsia"/>
        </w:rPr>
        <w:t>二、项目绩效目标</w:t>
      </w:r>
      <w:bookmarkEnd w:id="12"/>
      <w:bookmarkEnd w:id="13"/>
      <w:bookmarkEnd w:id="14"/>
      <w:bookmarkEnd w:id="15"/>
      <w:bookmarkEnd w:id="16"/>
    </w:p>
    <w:p>
      <w:pPr>
        <w:pStyle w:val="22"/>
        <w:spacing w:line="560" w:lineRule="exact"/>
        <w:ind w:firstLine="640"/>
        <w:rPr>
          <w:rFonts w:ascii="仿宋_GB2312" w:hAnsi="黑体" w:eastAsia="仿宋_GB2312"/>
          <w:sz w:val="32"/>
          <w:szCs w:val="32"/>
        </w:rPr>
      </w:pPr>
      <w:bookmarkStart w:id="17" w:name="_Toc491438397"/>
      <w:bookmarkStart w:id="18" w:name="_Toc489949634"/>
      <w:bookmarkStart w:id="19" w:name="_Toc489015039"/>
      <w:bookmarkStart w:id="20" w:name="_Toc489005357"/>
      <w:bookmarkStart w:id="21" w:name="_Toc489005210"/>
      <w:r>
        <w:rPr>
          <w:rFonts w:hint="eastAsia" w:ascii="仿宋_GB2312" w:hAnsi="黑体" w:eastAsia="仿宋_GB2312"/>
          <w:color w:val="000000" w:themeColor="text1"/>
          <w:sz w:val="32"/>
          <w:szCs w:val="32"/>
        </w:rPr>
        <w:t>项目绩效目标是</w:t>
      </w:r>
      <w:r>
        <w:rPr>
          <w:rFonts w:hint="eastAsia" w:ascii="仿宋_GB2312" w:hAnsi="黑体" w:eastAsia="仿宋_GB2312"/>
          <w:sz w:val="32"/>
          <w:szCs w:val="32"/>
        </w:rPr>
        <w:t>水库增殖放流后，改善库区水质，使水体透明度增加，藻类数量减少，水质逐步达到国家二类水质标准，带动库区群众就业，增加收入，提高城市供水群众对饮用水的满意度及库区群众对就业收入的满意度</w:t>
      </w:r>
      <w:r>
        <w:rPr>
          <w:rFonts w:ascii="仿宋_GB2312" w:hAnsi="黑体" w:eastAsia="仿宋_GB2312"/>
          <w:sz w:val="32"/>
          <w:szCs w:val="32"/>
        </w:rPr>
        <w:t>。</w:t>
      </w:r>
    </w:p>
    <w:p>
      <w:pPr>
        <w:pStyle w:val="23"/>
        <w:spacing w:line="560" w:lineRule="exact"/>
        <w:ind w:firstLine="640"/>
      </w:pPr>
      <w:r>
        <w:rPr>
          <w:rFonts w:hint="eastAsia"/>
        </w:rPr>
        <w:t>三、评价基本情况</w:t>
      </w:r>
      <w:bookmarkEnd w:id="17"/>
      <w:bookmarkEnd w:id="18"/>
      <w:bookmarkEnd w:id="19"/>
      <w:bookmarkEnd w:id="20"/>
      <w:bookmarkEnd w:id="21"/>
    </w:p>
    <w:p>
      <w:pPr>
        <w:pStyle w:val="22"/>
        <w:tabs>
          <w:tab w:val="left" w:pos="851"/>
          <w:tab w:val="left" w:pos="1418"/>
        </w:tabs>
        <w:spacing w:line="560" w:lineRule="exact"/>
        <w:ind w:firstLine="640"/>
        <w:rPr>
          <w:rFonts w:ascii="仿宋_GB2312" w:hAnsi="黑体" w:eastAsia="仿宋_GB2312"/>
          <w:sz w:val="32"/>
          <w:szCs w:val="32"/>
        </w:rPr>
      </w:pPr>
      <w:r>
        <w:rPr>
          <w:rFonts w:hint="eastAsia" w:ascii="仿宋_GB2312" w:hAnsi="黑体" w:eastAsia="仿宋_GB2312"/>
          <w:sz w:val="32"/>
          <w:szCs w:val="32"/>
        </w:rPr>
        <w:t>项目绩效评价的总体思路以项目的投入、过程、产出及效果为主要部分，其中投入包含实施依据、项目资金的到位及时率、项目绩效目标的设立等；过程包含项目补贴过程中的管理制度的执行、资金的使用率、资金使用过程中的财务监管；产出包含项目完成及补贴情况等；效果包含项目是否达到预期效益、补贴完成情况等；以上各项作为设计绩效评价指标体系的重要组成部分，绩效评价关注的重点是评价对象的实际产出和效果，因此，在具体设置绩效评价指标的权重时，产出类及效果类指标在整体权重中占主导地位。</w:t>
      </w:r>
    </w:p>
    <w:p>
      <w:pPr>
        <w:pStyle w:val="22"/>
        <w:tabs>
          <w:tab w:val="left" w:pos="851"/>
          <w:tab w:val="left" w:pos="1134"/>
        </w:tabs>
        <w:spacing w:line="560" w:lineRule="exact"/>
        <w:ind w:firstLine="579" w:firstLineChars="181"/>
        <w:rPr>
          <w:rFonts w:ascii="仿宋_GB2312" w:hAnsi="黑体" w:eastAsia="仿宋_GB2312"/>
          <w:sz w:val="32"/>
          <w:szCs w:val="32"/>
        </w:rPr>
      </w:pPr>
      <w:r>
        <w:rPr>
          <w:rFonts w:hint="eastAsia" w:ascii="仿宋_GB2312" w:hAnsi="黑体" w:eastAsia="仿宋_GB2312"/>
          <w:sz w:val="32"/>
          <w:szCs w:val="32"/>
        </w:rPr>
        <w:t>该项目评价方法采用因素分析法及公众评判法，现场与非现场评价相结合。</w:t>
      </w:r>
    </w:p>
    <w:p>
      <w:pPr>
        <w:pStyle w:val="22"/>
        <w:tabs>
          <w:tab w:val="left" w:pos="851"/>
          <w:tab w:val="left" w:pos="1134"/>
        </w:tabs>
        <w:spacing w:line="560" w:lineRule="exact"/>
        <w:ind w:firstLine="579" w:firstLineChars="181"/>
        <w:rPr>
          <w:rFonts w:ascii="仿宋_GB2312" w:hAnsi="仿宋" w:eastAsia="仿宋_GB2312"/>
          <w:sz w:val="32"/>
          <w:szCs w:val="32"/>
        </w:rPr>
      </w:pPr>
      <w:r>
        <w:rPr>
          <w:rFonts w:hint="eastAsia" w:ascii="仿宋_GB2312" w:hAnsi="仿宋" w:eastAsia="仿宋_GB2312"/>
          <w:sz w:val="32"/>
          <w:szCs w:val="32"/>
        </w:rPr>
        <w:t>由于绩效评价涉及具体的社会、经济调查，要求具有高水平的分析、判断能力，因此在人员配备方面我所充分考虑了相关人员需要具备足够的专业熟练程度和良好的工作能力，因此配备了注册会计师二名，会计师二名，辅助审计人员一名。</w:t>
      </w:r>
    </w:p>
    <w:tbl>
      <w:tblPr>
        <w:tblStyle w:val="17"/>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386"/>
        <w:gridCol w:w="2565"/>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8390" w:type="dxa"/>
            <w:gridSpan w:val="4"/>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79"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姓名</w:t>
            </w:r>
          </w:p>
        </w:tc>
        <w:tc>
          <w:tcPr>
            <w:tcW w:w="2386"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职称/职务</w:t>
            </w:r>
          </w:p>
        </w:tc>
        <w:tc>
          <w:tcPr>
            <w:tcW w:w="2565"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  位</w:t>
            </w:r>
          </w:p>
        </w:tc>
        <w:tc>
          <w:tcPr>
            <w:tcW w:w="1960"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jc w:val="center"/>
        </w:trPr>
        <w:tc>
          <w:tcPr>
            <w:tcW w:w="1479"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张辉</w:t>
            </w:r>
          </w:p>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王绍山</w:t>
            </w:r>
          </w:p>
        </w:tc>
        <w:tc>
          <w:tcPr>
            <w:tcW w:w="238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注册会计师/会计师</w:t>
            </w:r>
          </w:p>
        </w:tc>
        <w:tc>
          <w:tcPr>
            <w:tcW w:w="2565"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徐州华兴会计师事务所有限公司</w:t>
            </w:r>
          </w:p>
        </w:tc>
        <w:tc>
          <w:tcPr>
            <w:tcW w:w="1960" w:type="dxa"/>
            <w:vAlign w:val="center"/>
          </w:tcPr>
          <w:p>
            <w:pPr>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根据收集完备的有关资料审核绩效评价报告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jc w:val="center"/>
        </w:trPr>
        <w:tc>
          <w:tcPr>
            <w:tcW w:w="1479"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陈洪霞</w:t>
            </w:r>
          </w:p>
        </w:tc>
        <w:tc>
          <w:tcPr>
            <w:tcW w:w="2386" w:type="dxa"/>
            <w:vMerge w:val="restart"/>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会计师</w:t>
            </w:r>
          </w:p>
        </w:tc>
        <w:tc>
          <w:tcPr>
            <w:tcW w:w="2565" w:type="dxa"/>
            <w:vMerge w:val="restart"/>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徐州华兴会计师事务所有限公司</w:t>
            </w:r>
          </w:p>
        </w:tc>
        <w:tc>
          <w:tcPr>
            <w:tcW w:w="1960" w:type="dxa"/>
            <w:vMerge w:val="restart"/>
            <w:vAlign w:val="center"/>
          </w:tcPr>
          <w:p>
            <w:pPr>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与项目单位对接收集项目相关资料并进行审核，对资料进行补充完善，编制审计报告初稿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1479"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王玲</w:t>
            </w:r>
          </w:p>
        </w:tc>
        <w:tc>
          <w:tcPr>
            <w:tcW w:w="2386" w:type="dxa"/>
            <w:vMerge w:val="continue"/>
            <w:vAlign w:val="center"/>
          </w:tcPr>
          <w:p>
            <w:pPr>
              <w:spacing w:line="360" w:lineRule="auto"/>
              <w:jc w:val="center"/>
              <w:rPr>
                <w:rFonts w:asciiTheme="minorEastAsia" w:hAnsiTheme="minorEastAsia" w:eastAsiaTheme="minorEastAsia"/>
                <w:sz w:val="21"/>
                <w:szCs w:val="21"/>
              </w:rPr>
            </w:pPr>
          </w:p>
        </w:tc>
        <w:tc>
          <w:tcPr>
            <w:tcW w:w="2565" w:type="dxa"/>
            <w:vMerge w:val="continue"/>
            <w:vAlign w:val="center"/>
          </w:tcPr>
          <w:p>
            <w:pPr>
              <w:spacing w:line="360" w:lineRule="auto"/>
              <w:jc w:val="center"/>
              <w:rPr>
                <w:rFonts w:asciiTheme="minorEastAsia" w:hAnsiTheme="minorEastAsia" w:eastAsiaTheme="minorEastAsia"/>
                <w:sz w:val="21"/>
                <w:szCs w:val="21"/>
              </w:rPr>
            </w:pPr>
          </w:p>
        </w:tc>
        <w:tc>
          <w:tcPr>
            <w:tcW w:w="1960" w:type="dxa"/>
            <w:vMerge w:val="continue"/>
            <w:vAlign w:val="center"/>
          </w:tcPr>
          <w:p>
            <w:pPr>
              <w:spacing w:line="360" w:lineRule="auto"/>
              <w:jc w:val="lef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79"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王晶</w:t>
            </w:r>
          </w:p>
        </w:tc>
        <w:tc>
          <w:tcPr>
            <w:tcW w:w="2386"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助理审计</w:t>
            </w:r>
          </w:p>
        </w:tc>
        <w:tc>
          <w:tcPr>
            <w:tcW w:w="2565"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徐州华兴会计师事务所有限公司</w:t>
            </w:r>
          </w:p>
        </w:tc>
        <w:tc>
          <w:tcPr>
            <w:tcW w:w="1960" w:type="dxa"/>
            <w:vAlign w:val="center"/>
          </w:tcPr>
          <w:p>
            <w:pPr>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对项目现场进行勘察，现场发放调查问卷，收集并统计现场资料，出具现场调查统计表</w:t>
            </w:r>
          </w:p>
        </w:tc>
      </w:tr>
    </w:tbl>
    <w:p>
      <w:pPr>
        <w:pStyle w:val="28"/>
        <w:spacing w:line="560" w:lineRule="exact"/>
        <w:ind w:firstLine="664"/>
        <w:rPr>
          <w:rFonts w:ascii="仿宋_GB2312" w:hAnsi="黑体"/>
          <w:sz w:val="32"/>
          <w:szCs w:val="32"/>
        </w:rPr>
      </w:pPr>
      <w:bookmarkStart w:id="22" w:name="_Toc489015040"/>
      <w:bookmarkStart w:id="23" w:name="_Toc489005358"/>
      <w:bookmarkStart w:id="24" w:name="_Toc489005211"/>
      <w:r>
        <w:rPr>
          <w:rFonts w:hint="eastAsia" w:ascii="仿宋_GB2312" w:hAnsi="仿宋"/>
          <w:sz w:val="32"/>
          <w:szCs w:val="32"/>
        </w:rPr>
        <w:t>评价过程主要有三个阶段，一是准备阶段，按照业务需要成立绩效评价工作小组，收集整理绩效评价相关基础资料，按照要求编制支出项目绩效评价实施方案，</w:t>
      </w:r>
      <w:r>
        <w:rPr>
          <w:rFonts w:hint="eastAsia" w:ascii="仿宋_GB2312" w:hAnsi="仿宋"/>
          <w:color w:val="000000" w:themeColor="text1"/>
          <w:sz w:val="32"/>
          <w:szCs w:val="32"/>
        </w:rPr>
        <w:t>2019年1月31日前报枣庄</w:t>
      </w:r>
      <w:r>
        <w:rPr>
          <w:rFonts w:hint="eastAsia" w:ascii="仿宋_GB2312" w:hAnsi="仿宋"/>
          <w:sz w:val="32"/>
          <w:szCs w:val="32"/>
        </w:rPr>
        <w:t>市中区财政局审核；二是绩效评价实施阶段，对资料进行审核、拟定具体评价工作方案、实施绩效评价、完成绩效评价；三是撰写和提交绩效评价报告阶段，撰写报告、提交报告。</w:t>
      </w:r>
    </w:p>
    <w:p>
      <w:pPr>
        <w:pStyle w:val="23"/>
        <w:spacing w:line="580" w:lineRule="exact"/>
        <w:ind w:firstLine="640"/>
      </w:pPr>
      <w:bookmarkStart w:id="25" w:name="_Toc489949635"/>
      <w:bookmarkStart w:id="26" w:name="_Toc491438398"/>
      <w:r>
        <w:rPr>
          <w:rFonts w:hint="eastAsia"/>
        </w:rPr>
        <w:t>四、评价结论情况</w:t>
      </w:r>
      <w:bookmarkEnd w:id="22"/>
      <w:bookmarkEnd w:id="23"/>
      <w:bookmarkEnd w:id="24"/>
      <w:bookmarkEnd w:id="25"/>
      <w:bookmarkEnd w:id="26"/>
    </w:p>
    <w:tbl>
      <w:tblPr>
        <w:tblStyle w:val="45"/>
        <w:tblW w:w="8647"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5"/>
        <w:gridCol w:w="708"/>
        <w:gridCol w:w="2552"/>
        <w:gridCol w:w="2835"/>
        <w:gridCol w:w="709"/>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2" w:hRule="atLeast"/>
        </w:trPr>
        <w:tc>
          <w:tcPr>
            <w:tcW w:w="7230" w:type="dxa"/>
            <w:gridSpan w:val="4"/>
            <w:vAlign w:val="center"/>
          </w:tcPr>
          <w:p>
            <w:pPr>
              <w:spacing w:line="240" w:lineRule="auto"/>
              <w:jc w:val="center"/>
              <w:rPr>
                <w:rFonts w:eastAsia="宋体" w:cstheme="minorBidi"/>
                <w:sz w:val="18"/>
                <w:szCs w:val="18"/>
              </w:rPr>
            </w:pPr>
            <w:r>
              <w:rPr>
                <w:rFonts w:hint="eastAsia" w:eastAsia="宋体" w:cstheme="minorBidi"/>
                <w:sz w:val="18"/>
                <w:szCs w:val="18"/>
              </w:rPr>
              <w:t>评价指标</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指标分值</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评价得分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1" w:hRule="atLeast"/>
        </w:trPr>
        <w:tc>
          <w:tcPr>
            <w:tcW w:w="1135" w:type="dxa"/>
            <w:vAlign w:val="center"/>
          </w:tcPr>
          <w:p>
            <w:pPr>
              <w:spacing w:line="240" w:lineRule="auto"/>
              <w:jc w:val="center"/>
              <w:rPr>
                <w:rFonts w:eastAsia="宋体" w:cstheme="minorBidi"/>
                <w:sz w:val="18"/>
                <w:szCs w:val="18"/>
              </w:rPr>
            </w:pPr>
            <w:r>
              <w:rPr>
                <w:rFonts w:hint="eastAsia" w:eastAsia="宋体" w:cstheme="minorBidi"/>
                <w:sz w:val="18"/>
                <w:szCs w:val="18"/>
              </w:rPr>
              <w:t>一级</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二级</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三级</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四级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100</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3"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投入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 xml:space="preserve">立项 </w:t>
            </w:r>
          </w:p>
        </w:tc>
        <w:tc>
          <w:tcPr>
            <w:tcW w:w="2552"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项目实施依据</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实施依据的充分性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1"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主要目标</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目标的设定情况</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目标设立依据的充分性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5"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目标与任务计划的相符性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3" w:hRule="atLeast"/>
        </w:trPr>
        <w:tc>
          <w:tcPr>
            <w:tcW w:w="1135" w:type="dxa"/>
            <w:vMerge w:val="continue"/>
            <w:vAlign w:val="center"/>
          </w:tcPr>
          <w:p>
            <w:pPr>
              <w:spacing w:line="240" w:lineRule="auto"/>
              <w:jc w:val="center"/>
              <w:rPr>
                <w:rFonts w:eastAsia="宋体" w:cstheme="minorBidi"/>
                <w:sz w:val="18"/>
                <w:szCs w:val="18"/>
              </w:rPr>
            </w:pP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资金</w:t>
            </w:r>
            <w:r>
              <w:rPr>
                <w:rFonts w:hint="eastAsia" w:eastAsia="宋体" w:cstheme="minorBidi"/>
                <w:sz w:val="18"/>
                <w:szCs w:val="18"/>
              </w:rPr>
              <w:br w:type="textWrapping"/>
            </w:r>
            <w:r>
              <w:rPr>
                <w:rFonts w:hint="eastAsia" w:eastAsia="宋体" w:cstheme="minorBidi"/>
                <w:sz w:val="18"/>
                <w:szCs w:val="18"/>
              </w:rPr>
              <w:t xml:space="preserve">落实    </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项目资金到位及时率</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区级财政资金到位及时性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8</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7"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  过程      </w:t>
            </w:r>
          </w:p>
          <w:p>
            <w:pPr>
              <w:spacing w:line="240" w:lineRule="auto"/>
              <w:jc w:val="center"/>
              <w:rPr>
                <w:rFonts w:eastAsia="宋体" w:cstheme="minorBidi"/>
                <w:sz w:val="18"/>
                <w:szCs w:val="18"/>
              </w:rPr>
            </w:pPr>
            <w:r>
              <w:rPr>
                <w:rFonts w:hint="eastAsia" w:eastAsia="宋体" w:cstheme="minorBidi"/>
                <w:sz w:val="18"/>
                <w:szCs w:val="18"/>
              </w:rPr>
              <w:t xml:space="preserve">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业务</w:t>
            </w:r>
            <w:r>
              <w:rPr>
                <w:rFonts w:hint="eastAsia" w:eastAsia="宋体" w:cstheme="minorBidi"/>
                <w:sz w:val="18"/>
                <w:szCs w:val="18"/>
              </w:rPr>
              <w:br w:type="textWrapping"/>
            </w:r>
            <w:r>
              <w:rPr>
                <w:rFonts w:hint="eastAsia" w:eastAsia="宋体" w:cstheme="minorBidi"/>
                <w:sz w:val="18"/>
                <w:szCs w:val="18"/>
              </w:rPr>
              <w:t xml:space="preserve">管理  </w:t>
            </w:r>
          </w:p>
        </w:tc>
        <w:tc>
          <w:tcPr>
            <w:tcW w:w="2552"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组织管理水平</w:t>
            </w:r>
          </w:p>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组织机构情况</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1"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管理制度保障</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管理机构办公条件的保障</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9"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项目质量可控性</w:t>
            </w:r>
          </w:p>
        </w:tc>
        <w:tc>
          <w:tcPr>
            <w:tcW w:w="2835" w:type="dxa"/>
          </w:tcPr>
          <w:p>
            <w:pPr>
              <w:pStyle w:val="36"/>
              <w:shd w:val="clear" w:color="auto" w:fill="FFFFFF"/>
              <w:spacing w:line="180" w:lineRule="atLeast"/>
              <w:jc w:val="center"/>
              <w:rPr>
                <w:sz w:val="21"/>
                <w:szCs w:val="21"/>
              </w:rPr>
            </w:pPr>
            <w:r>
              <w:rPr>
                <w:rFonts w:hint="eastAsia"/>
                <w:sz w:val="18"/>
                <w:szCs w:val="18"/>
              </w:rPr>
              <w:t>项目质量或标准健全</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1</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9"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pStyle w:val="36"/>
              <w:shd w:val="clear" w:color="auto" w:fill="FFFFFF"/>
              <w:spacing w:line="180" w:lineRule="atLeast"/>
              <w:jc w:val="center"/>
              <w:rPr>
                <w:sz w:val="21"/>
                <w:szCs w:val="21"/>
              </w:rPr>
            </w:pPr>
            <w:r>
              <w:rPr>
                <w:rFonts w:hint="eastAsia"/>
                <w:sz w:val="18"/>
                <w:szCs w:val="18"/>
              </w:rPr>
              <w:t>项目实施控制情况</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项目完成质量管理水平</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0"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财务</w:t>
            </w:r>
            <w:r>
              <w:rPr>
                <w:rFonts w:hint="eastAsia" w:eastAsia="宋体" w:cstheme="minorBidi"/>
                <w:sz w:val="18"/>
                <w:szCs w:val="18"/>
              </w:rPr>
              <w:br w:type="textWrapping"/>
            </w:r>
            <w:r>
              <w:rPr>
                <w:rFonts w:hint="eastAsia" w:eastAsia="宋体" w:cstheme="minorBidi"/>
                <w:sz w:val="18"/>
                <w:szCs w:val="18"/>
              </w:rPr>
              <w:t xml:space="preserve">管理  </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财务管理制度健全性</w:t>
            </w:r>
          </w:p>
        </w:tc>
        <w:tc>
          <w:tcPr>
            <w:tcW w:w="2835" w:type="dxa"/>
            <w:vAlign w:val="center"/>
          </w:tcPr>
          <w:p>
            <w:pPr>
              <w:pStyle w:val="36"/>
              <w:shd w:val="clear" w:color="auto" w:fill="FFFFFF"/>
              <w:spacing w:line="180" w:lineRule="atLeast"/>
              <w:jc w:val="center"/>
              <w:rPr>
                <w:sz w:val="21"/>
                <w:szCs w:val="21"/>
              </w:rPr>
            </w:pPr>
            <w:r>
              <w:rPr>
                <w:rFonts w:hint="eastAsia"/>
                <w:sz w:val="18"/>
                <w:szCs w:val="18"/>
              </w:rPr>
              <w:t>资金管理制度的健全性</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0"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restart"/>
            <w:vAlign w:val="center"/>
          </w:tcPr>
          <w:p>
            <w:pPr>
              <w:spacing w:line="240" w:lineRule="auto"/>
              <w:jc w:val="center"/>
              <w:rPr>
                <w:rFonts w:eastAsia="宋体" w:cstheme="minorBidi"/>
                <w:sz w:val="18"/>
                <w:szCs w:val="18"/>
              </w:rPr>
            </w:pPr>
          </w:p>
          <w:p>
            <w:pPr>
              <w:spacing w:line="240" w:lineRule="auto"/>
              <w:jc w:val="center"/>
              <w:rPr>
                <w:rFonts w:eastAsia="宋体" w:cstheme="minorBidi"/>
                <w:sz w:val="18"/>
                <w:szCs w:val="18"/>
              </w:rPr>
            </w:pPr>
            <w:r>
              <w:rPr>
                <w:rFonts w:hint="eastAsia" w:eastAsia="宋体" w:cstheme="minorBidi"/>
                <w:sz w:val="18"/>
                <w:szCs w:val="18"/>
              </w:rPr>
              <w:t>资金使用合规性及相符性</w:t>
            </w:r>
          </w:p>
          <w:p>
            <w:pPr>
              <w:spacing w:line="240" w:lineRule="auto"/>
              <w:jc w:val="center"/>
              <w:rPr>
                <w:rFonts w:eastAsia="宋体" w:cstheme="minorBidi"/>
                <w:sz w:val="18"/>
                <w:szCs w:val="18"/>
              </w:rPr>
            </w:pPr>
          </w:p>
        </w:tc>
        <w:tc>
          <w:tcPr>
            <w:tcW w:w="2835" w:type="dxa"/>
            <w:vAlign w:val="center"/>
          </w:tcPr>
          <w:p>
            <w:pPr>
              <w:pStyle w:val="36"/>
              <w:shd w:val="clear" w:color="auto" w:fill="FFFFFF"/>
              <w:spacing w:line="180" w:lineRule="atLeast"/>
              <w:jc w:val="center"/>
              <w:rPr>
                <w:sz w:val="21"/>
                <w:szCs w:val="21"/>
              </w:rPr>
            </w:pPr>
            <w:r>
              <w:rPr>
                <w:rFonts w:hint="eastAsia"/>
                <w:sz w:val="18"/>
                <w:szCs w:val="18"/>
              </w:rPr>
              <w:t>资金使用的合规性</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4</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7" w:hRule="atLeast"/>
        </w:trPr>
        <w:tc>
          <w:tcPr>
            <w:tcW w:w="1135" w:type="dxa"/>
            <w:vMerge w:val="continue"/>
            <w:vAlign w:val="center"/>
          </w:tcPr>
          <w:p>
            <w:pPr>
              <w:pStyle w:val="36"/>
              <w:shd w:val="clear" w:color="auto" w:fill="FFFFFF"/>
              <w:spacing w:line="180" w:lineRule="atLeast"/>
              <w:jc w:val="center"/>
              <w:rPr>
                <w:sz w:val="21"/>
                <w:szCs w:val="21"/>
              </w:rPr>
            </w:pPr>
          </w:p>
        </w:tc>
        <w:tc>
          <w:tcPr>
            <w:tcW w:w="708" w:type="dxa"/>
            <w:vMerge w:val="continue"/>
            <w:vAlign w:val="center"/>
          </w:tcPr>
          <w:p>
            <w:pPr>
              <w:pStyle w:val="36"/>
              <w:shd w:val="clear" w:color="auto" w:fill="FFFFFF"/>
              <w:spacing w:line="180" w:lineRule="atLeast"/>
              <w:jc w:val="center"/>
              <w:rPr>
                <w:sz w:val="21"/>
                <w:szCs w:val="21"/>
              </w:rPr>
            </w:pPr>
          </w:p>
        </w:tc>
        <w:tc>
          <w:tcPr>
            <w:tcW w:w="2552" w:type="dxa"/>
            <w:vMerge w:val="continue"/>
            <w:vAlign w:val="center"/>
          </w:tcPr>
          <w:p>
            <w:pPr>
              <w:pStyle w:val="36"/>
              <w:shd w:val="clear" w:color="auto" w:fill="FFFFFF"/>
              <w:spacing w:line="180" w:lineRule="atLeast"/>
              <w:jc w:val="center"/>
              <w:rPr>
                <w:sz w:val="21"/>
                <w:szCs w:val="21"/>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资金拨付的合规性</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1" w:hRule="atLeast"/>
        </w:trPr>
        <w:tc>
          <w:tcPr>
            <w:tcW w:w="1135" w:type="dxa"/>
            <w:vMerge w:val="continue"/>
            <w:vAlign w:val="center"/>
          </w:tcPr>
          <w:p>
            <w:pPr>
              <w:pStyle w:val="36"/>
              <w:shd w:val="clear" w:color="auto" w:fill="FFFFFF"/>
              <w:spacing w:line="180" w:lineRule="atLeast"/>
              <w:jc w:val="center"/>
              <w:rPr>
                <w:sz w:val="21"/>
                <w:szCs w:val="21"/>
              </w:rPr>
            </w:pPr>
          </w:p>
        </w:tc>
        <w:tc>
          <w:tcPr>
            <w:tcW w:w="708" w:type="dxa"/>
            <w:vMerge w:val="continue"/>
            <w:vAlign w:val="center"/>
          </w:tcPr>
          <w:p>
            <w:pPr>
              <w:pStyle w:val="36"/>
              <w:shd w:val="clear" w:color="auto" w:fill="FFFFFF"/>
              <w:spacing w:line="180" w:lineRule="atLeast"/>
              <w:jc w:val="center"/>
              <w:rPr>
                <w:sz w:val="21"/>
                <w:szCs w:val="21"/>
              </w:rPr>
            </w:pPr>
          </w:p>
        </w:tc>
        <w:tc>
          <w:tcPr>
            <w:tcW w:w="2552" w:type="dxa"/>
            <w:vMerge w:val="continue"/>
            <w:vAlign w:val="center"/>
          </w:tcPr>
          <w:p>
            <w:pPr>
              <w:pStyle w:val="36"/>
              <w:shd w:val="clear" w:color="auto" w:fill="FFFFFF"/>
              <w:spacing w:line="180" w:lineRule="atLeast"/>
              <w:jc w:val="center"/>
              <w:rPr>
                <w:sz w:val="21"/>
                <w:szCs w:val="21"/>
              </w:rPr>
            </w:pPr>
          </w:p>
        </w:tc>
        <w:tc>
          <w:tcPr>
            <w:tcW w:w="2835" w:type="dxa"/>
            <w:vAlign w:val="center"/>
          </w:tcPr>
          <w:p>
            <w:pPr>
              <w:pStyle w:val="36"/>
              <w:shd w:val="clear" w:color="auto" w:fill="FFFFFF"/>
              <w:spacing w:line="180" w:lineRule="atLeast"/>
              <w:jc w:val="center"/>
              <w:rPr>
                <w:sz w:val="21"/>
                <w:szCs w:val="21"/>
              </w:rPr>
            </w:pPr>
            <w:r>
              <w:rPr>
                <w:rFonts w:hint="eastAsia"/>
                <w:sz w:val="18"/>
                <w:szCs w:val="18"/>
              </w:rPr>
              <w:t>政府采购的合规性</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6" w:hRule="atLeast"/>
        </w:trPr>
        <w:tc>
          <w:tcPr>
            <w:tcW w:w="1135" w:type="dxa"/>
            <w:vMerge w:val="continue"/>
            <w:vAlign w:val="center"/>
          </w:tcPr>
          <w:p>
            <w:pPr>
              <w:pStyle w:val="36"/>
              <w:shd w:val="clear" w:color="auto" w:fill="FFFFFF"/>
              <w:spacing w:line="180" w:lineRule="atLeast"/>
              <w:jc w:val="center"/>
              <w:rPr>
                <w:sz w:val="21"/>
                <w:szCs w:val="21"/>
              </w:rPr>
            </w:pPr>
          </w:p>
        </w:tc>
        <w:tc>
          <w:tcPr>
            <w:tcW w:w="708" w:type="dxa"/>
            <w:vMerge w:val="continue"/>
            <w:vAlign w:val="center"/>
          </w:tcPr>
          <w:p>
            <w:pPr>
              <w:pStyle w:val="36"/>
              <w:shd w:val="clear" w:color="auto" w:fill="FFFFFF"/>
              <w:spacing w:line="180" w:lineRule="atLeast"/>
              <w:jc w:val="center"/>
              <w:rPr>
                <w:sz w:val="21"/>
                <w:szCs w:val="21"/>
              </w:rPr>
            </w:pPr>
          </w:p>
        </w:tc>
        <w:tc>
          <w:tcPr>
            <w:tcW w:w="2552" w:type="dxa"/>
            <w:vMerge w:val="continue"/>
            <w:vAlign w:val="center"/>
          </w:tcPr>
          <w:p>
            <w:pPr>
              <w:pStyle w:val="36"/>
              <w:shd w:val="clear" w:color="auto" w:fill="FFFFFF"/>
              <w:spacing w:line="180" w:lineRule="atLeast"/>
              <w:jc w:val="center"/>
              <w:rPr>
                <w:sz w:val="21"/>
                <w:szCs w:val="21"/>
              </w:rPr>
            </w:pPr>
          </w:p>
        </w:tc>
        <w:tc>
          <w:tcPr>
            <w:tcW w:w="2835" w:type="dxa"/>
            <w:vAlign w:val="center"/>
          </w:tcPr>
          <w:p>
            <w:pPr>
              <w:pStyle w:val="36"/>
              <w:shd w:val="clear" w:color="auto" w:fill="FFFFFF"/>
              <w:spacing w:line="180" w:lineRule="atLeast"/>
              <w:jc w:val="center"/>
              <w:rPr>
                <w:sz w:val="21"/>
                <w:szCs w:val="21"/>
              </w:rPr>
            </w:pPr>
            <w:r>
              <w:rPr>
                <w:rFonts w:hint="eastAsia"/>
                <w:sz w:val="18"/>
                <w:szCs w:val="18"/>
              </w:rPr>
              <w:t>项目支出与预算的相符性</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2</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产出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 xml:space="preserve">产出  </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项目完成情况</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预定目标是否实现</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0"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项目完成质量</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项目完成质量合格率</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2"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完成及时性</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项目是否按时完成</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5"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成本情况</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有无超过预算规定总金额</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5"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效果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项目效益</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经济效益</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是否带动库区群众就业及增加收入</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6</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1"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生态效益</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是否改善水库水质</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6</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trPr>
        <w:tc>
          <w:tcPr>
            <w:tcW w:w="1135" w:type="dxa"/>
            <w:vMerge w:val="continue"/>
            <w:vAlign w:val="center"/>
          </w:tcPr>
          <w:p>
            <w:pPr>
              <w:pStyle w:val="36"/>
              <w:shd w:val="clear" w:color="auto" w:fill="FFFFFF"/>
              <w:spacing w:line="180" w:lineRule="atLeast"/>
              <w:jc w:val="center"/>
              <w:rPr>
                <w:sz w:val="21"/>
                <w:szCs w:val="21"/>
              </w:rPr>
            </w:pPr>
          </w:p>
        </w:tc>
        <w:tc>
          <w:tcPr>
            <w:tcW w:w="708" w:type="dxa"/>
            <w:vMerge w:val="continue"/>
            <w:vAlign w:val="center"/>
          </w:tcPr>
          <w:p>
            <w:pPr>
              <w:pStyle w:val="36"/>
              <w:shd w:val="clear" w:color="auto" w:fill="FFFFFF"/>
              <w:spacing w:line="180" w:lineRule="atLeast"/>
              <w:jc w:val="center"/>
              <w:rPr>
                <w:sz w:val="21"/>
                <w:szCs w:val="21"/>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社会效益</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通过增殖方推动产生的社会效益</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6</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7" w:hRule="atLeast"/>
        </w:trPr>
        <w:tc>
          <w:tcPr>
            <w:tcW w:w="1135" w:type="dxa"/>
            <w:vMerge w:val="continue"/>
            <w:vAlign w:val="center"/>
          </w:tcPr>
          <w:p>
            <w:pPr>
              <w:pStyle w:val="36"/>
              <w:shd w:val="clear" w:color="auto" w:fill="FFFFFF"/>
              <w:spacing w:line="180" w:lineRule="atLeast"/>
              <w:jc w:val="center"/>
              <w:rPr>
                <w:sz w:val="21"/>
                <w:szCs w:val="21"/>
              </w:rPr>
            </w:pPr>
          </w:p>
        </w:tc>
        <w:tc>
          <w:tcPr>
            <w:tcW w:w="708" w:type="dxa"/>
            <w:vMerge w:val="continue"/>
            <w:vAlign w:val="center"/>
          </w:tcPr>
          <w:p>
            <w:pPr>
              <w:pStyle w:val="36"/>
              <w:shd w:val="clear" w:color="auto" w:fill="FFFFFF"/>
              <w:spacing w:line="180" w:lineRule="atLeast"/>
              <w:jc w:val="center"/>
              <w:rPr>
                <w:sz w:val="21"/>
                <w:szCs w:val="21"/>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可持续影响</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增殖放流后水质的持续改善</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6</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5" w:type="dxa"/>
            <w:vMerge w:val="continue"/>
            <w:vAlign w:val="center"/>
          </w:tcPr>
          <w:p>
            <w:pPr>
              <w:pStyle w:val="36"/>
              <w:shd w:val="clear" w:color="auto" w:fill="FFFFFF"/>
              <w:spacing w:line="180" w:lineRule="atLeast"/>
              <w:jc w:val="center"/>
              <w:rPr>
                <w:sz w:val="21"/>
                <w:szCs w:val="21"/>
              </w:rPr>
            </w:pPr>
          </w:p>
        </w:tc>
        <w:tc>
          <w:tcPr>
            <w:tcW w:w="708" w:type="dxa"/>
            <w:vMerge w:val="continue"/>
            <w:vAlign w:val="center"/>
          </w:tcPr>
          <w:p>
            <w:pPr>
              <w:pStyle w:val="36"/>
              <w:shd w:val="clear" w:color="auto" w:fill="FFFFFF"/>
              <w:spacing w:line="180" w:lineRule="atLeast"/>
              <w:jc w:val="center"/>
              <w:rPr>
                <w:sz w:val="21"/>
                <w:szCs w:val="21"/>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社会公众或服务对象满意度</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问卷满意度</w:t>
            </w:r>
          </w:p>
        </w:tc>
        <w:tc>
          <w:tcPr>
            <w:tcW w:w="709" w:type="dxa"/>
            <w:vAlign w:val="center"/>
          </w:tcPr>
          <w:p>
            <w:pPr>
              <w:spacing w:line="240" w:lineRule="auto"/>
              <w:jc w:val="center"/>
              <w:rPr>
                <w:rFonts w:eastAsia="宋体" w:cstheme="minorBidi"/>
                <w:sz w:val="21"/>
                <w:szCs w:val="21"/>
              </w:rPr>
            </w:pPr>
            <w:r>
              <w:rPr>
                <w:rFonts w:hint="eastAsia" w:eastAsia="宋体" w:cstheme="minorBidi"/>
                <w:sz w:val="21"/>
                <w:szCs w:val="21"/>
              </w:rPr>
              <w:t>6</w:t>
            </w:r>
          </w:p>
        </w:tc>
        <w:tc>
          <w:tcPr>
            <w:tcW w:w="708" w:type="dxa"/>
            <w:vAlign w:val="center"/>
          </w:tcPr>
          <w:p>
            <w:pPr>
              <w:spacing w:line="240" w:lineRule="auto"/>
              <w:jc w:val="center"/>
              <w:rPr>
                <w:rFonts w:eastAsia="宋体" w:cstheme="minorBidi"/>
                <w:sz w:val="21"/>
                <w:szCs w:val="21"/>
              </w:rPr>
            </w:pPr>
            <w:r>
              <w:rPr>
                <w:rFonts w:hint="eastAsia" w:eastAsia="宋体" w:cstheme="minorBidi"/>
                <w:sz w:val="21"/>
                <w:szCs w:val="21"/>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1" w:hRule="atLeast"/>
        </w:trPr>
        <w:tc>
          <w:tcPr>
            <w:tcW w:w="1135" w:type="dxa"/>
            <w:vAlign w:val="center"/>
          </w:tcPr>
          <w:p>
            <w:pPr>
              <w:spacing w:line="240" w:lineRule="auto"/>
              <w:jc w:val="center"/>
              <w:rPr>
                <w:rFonts w:eastAsia="宋体" w:cstheme="minorBidi"/>
                <w:sz w:val="18"/>
                <w:szCs w:val="18"/>
              </w:rPr>
            </w:pPr>
            <w:r>
              <w:rPr>
                <w:rFonts w:hint="eastAsia" w:eastAsia="宋体" w:cstheme="minorBidi"/>
                <w:sz w:val="18"/>
                <w:szCs w:val="18"/>
              </w:rPr>
              <w:t>综合得分</w:t>
            </w:r>
          </w:p>
        </w:tc>
        <w:tc>
          <w:tcPr>
            <w:tcW w:w="708" w:type="dxa"/>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p>
        </w:tc>
        <w:tc>
          <w:tcPr>
            <w:tcW w:w="709" w:type="dxa"/>
            <w:vAlign w:val="center"/>
          </w:tcPr>
          <w:p>
            <w:pPr>
              <w:spacing w:line="240" w:lineRule="auto"/>
              <w:jc w:val="center"/>
              <w:rPr>
                <w:rFonts w:eastAsia="宋体" w:cstheme="minorBidi"/>
                <w:sz w:val="18"/>
                <w:szCs w:val="18"/>
              </w:rPr>
            </w:pP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4" w:hRule="atLeast"/>
        </w:trPr>
        <w:tc>
          <w:tcPr>
            <w:tcW w:w="1135" w:type="dxa"/>
            <w:vAlign w:val="center"/>
          </w:tcPr>
          <w:p>
            <w:pPr>
              <w:spacing w:line="240" w:lineRule="auto"/>
              <w:jc w:val="center"/>
              <w:rPr>
                <w:rFonts w:eastAsia="宋体" w:cstheme="minorBidi"/>
                <w:sz w:val="18"/>
                <w:szCs w:val="18"/>
              </w:rPr>
            </w:pPr>
            <w:r>
              <w:rPr>
                <w:rFonts w:hint="eastAsia" w:eastAsia="宋体" w:cstheme="minorBidi"/>
                <w:sz w:val="18"/>
                <w:szCs w:val="18"/>
              </w:rPr>
              <w:t>评价等次</w:t>
            </w:r>
          </w:p>
        </w:tc>
        <w:tc>
          <w:tcPr>
            <w:tcW w:w="708" w:type="dxa"/>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p>
        </w:tc>
        <w:tc>
          <w:tcPr>
            <w:tcW w:w="709" w:type="dxa"/>
            <w:vAlign w:val="center"/>
          </w:tcPr>
          <w:p>
            <w:pPr>
              <w:spacing w:line="240" w:lineRule="auto"/>
              <w:jc w:val="center"/>
              <w:rPr>
                <w:rFonts w:eastAsia="宋体" w:cstheme="minorBidi"/>
                <w:sz w:val="18"/>
                <w:szCs w:val="18"/>
              </w:rPr>
            </w:pPr>
          </w:p>
        </w:tc>
        <w:tc>
          <w:tcPr>
            <w:tcW w:w="708" w:type="dxa"/>
            <w:vAlign w:val="center"/>
          </w:tcPr>
          <w:p>
            <w:pPr>
              <w:spacing w:line="240" w:lineRule="auto"/>
              <w:jc w:val="center"/>
              <w:rPr>
                <w:rFonts w:eastAsia="宋体" w:cstheme="minorBidi"/>
                <w:sz w:val="18"/>
                <w:szCs w:val="18"/>
              </w:rPr>
            </w:pPr>
            <w:r>
              <w:rPr>
                <w:rFonts w:eastAsia="宋体" w:cstheme="minorBidi"/>
                <w:sz w:val="18"/>
                <w:szCs w:val="18"/>
              </w:rPr>
              <w:t>良好</w:t>
            </w:r>
          </w:p>
        </w:tc>
      </w:tr>
    </w:tbl>
    <w:p>
      <w:pPr>
        <w:pStyle w:val="36"/>
        <w:shd w:val="clear" w:color="auto" w:fill="FFFFFF"/>
        <w:spacing w:before="0" w:beforeAutospacing="0" w:after="0" w:afterAutospacing="0" w:line="580" w:lineRule="exact"/>
        <w:ind w:firstLine="640" w:firstLineChars="200"/>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 xml:space="preserve">该项目评价综合得分85.9分，投入指标分值20分，得分20分；过程指标分值30分，得分23分；产出指标分值20分，得分18分；效果指标分值30分，得分24.9分。                                                    </w:t>
      </w:r>
    </w:p>
    <w:p>
      <w:pPr>
        <w:pStyle w:val="22"/>
        <w:spacing w:line="580" w:lineRule="exact"/>
        <w:ind w:firstLine="640"/>
        <w:rPr>
          <w:rFonts w:ascii="仿宋_GB2312" w:hAnsi="楷体" w:eastAsia="仿宋_GB2312" w:cs="宋体"/>
          <w:kern w:val="0"/>
          <w:sz w:val="32"/>
          <w:szCs w:val="32"/>
        </w:rPr>
      </w:pPr>
      <w:r>
        <w:rPr>
          <w:rFonts w:hint="eastAsia" w:ascii="仿宋_GB2312" w:hAnsi="黑体" w:eastAsia="仿宋_GB2312"/>
          <w:color w:val="000000" w:themeColor="text1"/>
          <w:sz w:val="32"/>
          <w:szCs w:val="32"/>
        </w:rPr>
        <w:t>该项目对利用中央专项资金20万元购买了规格100mm，数量30770斤鲢鳙鱼在周村水库进行增殖放流，</w:t>
      </w:r>
      <w:r>
        <w:rPr>
          <w:rFonts w:ascii="仿宋_GB2312" w:hAnsi="楷体" w:eastAsia="仿宋_GB2312" w:cs="宋体"/>
          <w:kern w:val="0"/>
          <w:sz w:val="32"/>
          <w:szCs w:val="32"/>
        </w:rPr>
        <w:t>完成了该项</w:t>
      </w:r>
      <w:r>
        <w:rPr>
          <w:rFonts w:hint="eastAsia" w:ascii="仿宋_GB2312" w:hAnsi="楷体" w:eastAsia="仿宋_GB2312" w:cs="宋体"/>
          <w:kern w:val="0"/>
          <w:sz w:val="32"/>
          <w:szCs w:val="32"/>
        </w:rPr>
        <w:t>的</w:t>
      </w:r>
      <w:r>
        <w:rPr>
          <w:rFonts w:ascii="仿宋_GB2312" w:hAnsi="楷体" w:eastAsia="仿宋_GB2312" w:cs="宋体"/>
          <w:kern w:val="0"/>
          <w:sz w:val="32"/>
          <w:szCs w:val="32"/>
        </w:rPr>
        <w:t>放流任务</w:t>
      </w:r>
      <w:r>
        <w:rPr>
          <w:rFonts w:hint="eastAsia" w:ascii="仿宋_GB2312" w:hAnsi="楷体" w:eastAsia="仿宋_GB2312" w:cs="宋体"/>
          <w:kern w:val="0"/>
          <w:sz w:val="32"/>
          <w:szCs w:val="32"/>
        </w:rPr>
        <w:t>。</w:t>
      </w:r>
    </w:p>
    <w:p>
      <w:pPr>
        <w:pStyle w:val="36"/>
        <w:shd w:val="clear" w:color="auto" w:fill="FFFFFF"/>
        <w:spacing w:before="0" w:beforeAutospacing="0" w:after="0" w:afterAutospacing="0" w:line="580" w:lineRule="exact"/>
        <w:ind w:firstLine="640" w:firstLineChars="200"/>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经过绩效评价工作小组认真分析总结，该项目实施的成绩主要表现在以下几个方面：</w:t>
      </w:r>
    </w:p>
    <w:p>
      <w:pPr>
        <w:pStyle w:val="24"/>
        <w:numPr>
          <w:ilvl w:val="0"/>
          <w:numId w:val="1"/>
        </w:numPr>
        <w:tabs>
          <w:tab w:val="left" w:pos="1276"/>
        </w:tabs>
        <w:ind w:left="0" w:firstLine="664" w:firstLineChars="0"/>
        <w:rPr>
          <w:rFonts w:ascii="仿宋_GB2312" w:hAnsi="仿宋" w:eastAsia="仿宋_GB2312" w:cs="Times New Roman"/>
          <w:szCs w:val="32"/>
        </w:rPr>
      </w:pPr>
      <w:r>
        <w:rPr>
          <w:rFonts w:hint="eastAsia" w:ascii="仿宋_GB2312" w:hAnsi="仿宋" w:eastAsia="仿宋_GB2312" w:cs="Times New Roman"/>
          <w:szCs w:val="32"/>
        </w:rPr>
        <w:t>在项目实施依据与资金落实情况上，项目总体实施依据符合政策，目标明确，资金及时到位，保证了项目的正常开展。</w:t>
      </w:r>
    </w:p>
    <w:p>
      <w:pPr>
        <w:pStyle w:val="24"/>
        <w:numPr>
          <w:ilvl w:val="0"/>
          <w:numId w:val="1"/>
        </w:numPr>
        <w:tabs>
          <w:tab w:val="left" w:pos="1276"/>
        </w:tabs>
        <w:ind w:left="0" w:firstLine="709" w:firstLineChars="0"/>
        <w:rPr>
          <w:rFonts w:ascii="仿宋_GB2312" w:hAnsi="仿宋" w:eastAsia="仿宋_GB2312" w:cs="Times New Roman"/>
          <w:szCs w:val="32"/>
        </w:rPr>
      </w:pPr>
      <w:r>
        <w:rPr>
          <w:rFonts w:hint="eastAsia" w:ascii="仿宋_GB2312" w:hAnsi="仿宋" w:eastAsia="仿宋_GB2312" w:cs="Times New Roman"/>
          <w:szCs w:val="32"/>
        </w:rPr>
        <w:t>在业务管理与财务管理上，管理机构健全、补贴审批符合基本符合要求、资金部分拨付、拨付手续基本齐全、财务管理制度健全。</w:t>
      </w:r>
    </w:p>
    <w:p>
      <w:pPr>
        <w:pStyle w:val="24"/>
        <w:numPr>
          <w:ilvl w:val="0"/>
          <w:numId w:val="1"/>
        </w:numPr>
        <w:tabs>
          <w:tab w:val="left" w:pos="1276"/>
        </w:tabs>
        <w:ind w:left="0" w:firstLine="664" w:firstLineChars="0"/>
        <w:rPr>
          <w:rFonts w:ascii="仿宋_GB2312" w:hAnsi="仿宋" w:eastAsia="仿宋_GB2312" w:cs="Times New Roman"/>
          <w:szCs w:val="32"/>
        </w:rPr>
      </w:pPr>
      <w:r>
        <w:rPr>
          <w:rFonts w:hint="eastAsia" w:ascii="仿宋_GB2312" w:hAnsi="仿宋" w:eastAsia="仿宋_GB2312" w:cs="Times New Roman"/>
          <w:szCs w:val="32"/>
        </w:rPr>
        <w:t>在项目产出上，利用中央专项资金</w:t>
      </w:r>
      <w:r>
        <w:rPr>
          <w:rFonts w:ascii="仿宋_GB2312" w:hAnsi="仿宋" w:eastAsia="仿宋_GB2312" w:cs="Times New Roman"/>
          <w:szCs w:val="32"/>
        </w:rPr>
        <w:t>20万元购买了规格100mm，数量30770斤鲢鳙鱼在周村水库进行增殖放流，完成了该项的放流任务。</w:t>
      </w:r>
    </w:p>
    <w:p>
      <w:pPr>
        <w:pStyle w:val="24"/>
        <w:ind w:firstLine="564" w:firstLineChars="170"/>
        <w:rPr>
          <w:rFonts w:ascii="仿宋_GB2312" w:hAnsi="黑体" w:eastAsia="仿宋_GB2312" w:cs="Times New Roman"/>
          <w:szCs w:val="32"/>
        </w:rPr>
      </w:pPr>
      <w:r>
        <w:rPr>
          <w:rFonts w:hint="eastAsia" w:ascii="仿宋_GB2312" w:hAnsi="仿宋" w:eastAsia="仿宋_GB2312" w:cs="Times New Roman"/>
          <w:szCs w:val="32"/>
        </w:rPr>
        <w:t>4、在项目效果上，主要表现在增殖放流项目完成后</w:t>
      </w:r>
      <w:r>
        <w:rPr>
          <w:rFonts w:hint="eastAsia" w:ascii="仿宋_GB2312" w:hAnsi="黑体" w:eastAsia="仿宋_GB2312" w:cs="Times New Roman"/>
          <w:szCs w:val="32"/>
        </w:rPr>
        <w:t>，</w:t>
      </w:r>
      <w:r>
        <w:rPr>
          <w:rFonts w:hint="eastAsia" w:ascii="仿宋_GB2312" w:hAnsi="黑体" w:eastAsia="仿宋_GB2312" w:cs="Times New Roman"/>
          <w:color w:val="000000" w:themeColor="text1"/>
          <w:szCs w:val="32"/>
        </w:rPr>
        <w:t>改善库区水质，使水体透明度增加，藻类数量减少，</w:t>
      </w:r>
      <w:r>
        <w:rPr>
          <w:rFonts w:hint="eastAsia" w:ascii="仿宋_GB2312" w:hAnsi="黑体" w:eastAsia="仿宋_GB2312" w:cs="Times New Roman"/>
          <w:spacing w:val="0"/>
          <w:szCs w:val="32"/>
        </w:rPr>
        <w:t>水质逐步达到国家二类水质标准</w:t>
      </w:r>
      <w:r>
        <w:rPr>
          <w:rFonts w:hint="eastAsia" w:ascii="仿宋_GB2312" w:hAnsi="黑体" w:eastAsia="仿宋_GB2312" w:cs="Times New Roman"/>
          <w:color w:val="000000" w:themeColor="text1"/>
          <w:szCs w:val="32"/>
        </w:rPr>
        <w:t>，提高城市供水群众对饮用水的满意度及库区群众对就业收入的满意度。</w:t>
      </w:r>
    </w:p>
    <w:p>
      <w:pPr>
        <w:pStyle w:val="36"/>
        <w:shd w:val="clear" w:color="auto" w:fill="FFFFFF"/>
        <w:spacing w:before="0" w:beforeAutospacing="0" w:after="0" w:afterAutospacing="0" w:line="580" w:lineRule="exact"/>
        <w:ind w:firstLine="640" w:firstLineChars="200"/>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该项目评价扣分14.1分，过程指标扣分7分，产出指标扣分2分，效果扣分5.1分。</w:t>
      </w:r>
    </w:p>
    <w:p>
      <w:pPr>
        <w:ind w:firstLine="640" w:firstLineChars="200"/>
        <w:rPr>
          <w:rFonts w:ascii="仿宋_GB2312" w:hAnsi="黑体"/>
          <w:spacing w:val="0"/>
          <w:sz w:val="32"/>
          <w:szCs w:val="32"/>
        </w:rPr>
      </w:pPr>
      <w:r>
        <w:rPr>
          <w:rFonts w:hint="eastAsia" w:ascii="仿宋_GB2312" w:hAnsi="黑体"/>
          <w:spacing w:val="0"/>
          <w:sz w:val="32"/>
          <w:szCs w:val="32"/>
        </w:rPr>
        <w:t>扣分原因主要为实施增殖放流项目后鱼苗投放后的渔业生产能力未达到预期效果，</w:t>
      </w:r>
      <w:r>
        <w:rPr>
          <w:rFonts w:ascii="仿宋_GB2312" w:hAnsi="黑体"/>
          <w:spacing w:val="0"/>
          <w:sz w:val="32"/>
          <w:szCs w:val="32"/>
        </w:rPr>
        <w:t>项目管理制度不够健全、完善</w:t>
      </w:r>
      <w:r>
        <w:rPr>
          <w:rFonts w:hint="eastAsia" w:ascii="仿宋_GB2312" w:hAnsi="黑体"/>
          <w:spacing w:val="0"/>
          <w:sz w:val="32"/>
          <w:szCs w:val="32"/>
        </w:rPr>
        <w:t>，</w:t>
      </w:r>
      <w:r>
        <w:rPr>
          <w:rFonts w:ascii="仿宋_GB2312" w:hAnsi="黑体"/>
          <w:spacing w:val="0"/>
          <w:sz w:val="32"/>
          <w:szCs w:val="32"/>
        </w:rPr>
        <w:t>项目相关抽查资料，各项管理台账，不够完整。</w:t>
      </w:r>
      <w:bookmarkStart w:id="27" w:name="_Toc489015041"/>
      <w:bookmarkStart w:id="28" w:name="_Toc489005212"/>
      <w:bookmarkStart w:id="29" w:name="_Toc489005359"/>
      <w:bookmarkStart w:id="30" w:name="_Toc491438399"/>
      <w:bookmarkStart w:id="31" w:name="_Toc489949636"/>
    </w:p>
    <w:p>
      <w:pPr>
        <w:pStyle w:val="24"/>
        <w:tabs>
          <w:tab w:val="left" w:pos="993"/>
          <w:tab w:val="left" w:pos="1276"/>
        </w:tabs>
        <w:ind w:firstLine="664"/>
        <w:rPr>
          <w:rFonts w:ascii="黑体" w:hAnsi="黑体" w:eastAsia="黑体"/>
        </w:rPr>
      </w:pPr>
      <w:r>
        <w:rPr>
          <w:rFonts w:hint="eastAsia" w:ascii="黑体" w:hAnsi="黑体" w:eastAsia="黑体"/>
        </w:rPr>
        <w:t>五、意见建议</w:t>
      </w:r>
      <w:bookmarkEnd w:id="27"/>
      <w:bookmarkEnd w:id="28"/>
      <w:bookmarkEnd w:id="29"/>
      <w:bookmarkEnd w:id="30"/>
      <w:bookmarkEnd w:id="31"/>
    </w:p>
    <w:p>
      <w:pPr>
        <w:pStyle w:val="24"/>
        <w:ind w:firstLine="664"/>
        <w:rPr>
          <w:rFonts w:ascii="仿宋_GB2312" w:hAnsi="仿宋" w:eastAsia="仿宋_GB2312" w:cs="Times New Roman"/>
          <w:szCs w:val="32"/>
        </w:rPr>
      </w:pPr>
      <w:bookmarkStart w:id="32" w:name="_Toc489949637"/>
      <w:r>
        <w:rPr>
          <w:rFonts w:hint="eastAsia" w:ascii="仿宋_GB2312" w:hAnsi="仿宋" w:eastAsia="仿宋_GB2312" w:cs="Times New Roman"/>
          <w:szCs w:val="32"/>
        </w:rPr>
        <w:t>为进一步提高财政专项资金的管理水平和使用效益，针对存在的问题，绩效评价小组提出如下建议：</w:t>
      </w:r>
      <w:bookmarkEnd w:id="32"/>
    </w:p>
    <w:p>
      <w:pPr>
        <w:pStyle w:val="28"/>
        <w:ind w:firstLine="664"/>
        <w:rPr>
          <w:rFonts w:ascii="仿宋_GB2312" w:hAnsi="仿宋"/>
          <w:sz w:val="32"/>
          <w:szCs w:val="32"/>
        </w:rPr>
      </w:pPr>
      <w:bookmarkStart w:id="33" w:name="_Toc491438400"/>
      <w:r>
        <w:rPr>
          <w:rFonts w:ascii="仿宋_GB2312" w:hAnsi="仿宋"/>
          <w:sz w:val="32"/>
          <w:szCs w:val="32"/>
        </w:rPr>
        <w:t>1、实施增殖放流项目后加强后期维护工作，保证鱼苗投放后的成活率，更好的完成项目产出率及各项效益。</w:t>
      </w:r>
    </w:p>
    <w:p>
      <w:pPr>
        <w:pStyle w:val="28"/>
        <w:ind w:firstLine="664"/>
        <w:rPr>
          <w:rFonts w:ascii="仿宋_GB2312" w:hAnsi="仿宋"/>
          <w:sz w:val="32"/>
          <w:szCs w:val="32"/>
        </w:rPr>
      </w:pPr>
      <w:r>
        <w:rPr>
          <w:rFonts w:ascii="仿宋_GB2312" w:hAnsi="仿宋"/>
          <w:sz w:val="32"/>
          <w:szCs w:val="32"/>
        </w:rPr>
        <w:t>2、制定完善的相关管理制度、该专项资金的财务管理制度。</w:t>
      </w:r>
    </w:p>
    <w:p>
      <w:pPr>
        <w:pStyle w:val="28"/>
        <w:ind w:firstLine="664"/>
      </w:pPr>
      <w:r>
        <w:rPr>
          <w:rFonts w:ascii="仿宋_GB2312" w:hAnsi="仿宋"/>
          <w:sz w:val="32"/>
          <w:szCs w:val="32"/>
        </w:rPr>
        <w:t>3、完善项目相关抽查资料，健全各项管理台账，保证资金拨付依据的完整性。</w:t>
      </w: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9"/>
        <w:ind w:firstLine="2201" w:firstLineChars="500"/>
        <w:jc w:val="both"/>
        <w:rPr>
          <w:rFonts w:hint="eastAsia"/>
        </w:rPr>
      </w:pPr>
      <w:r>
        <w:rPr>
          <w:rFonts w:hint="eastAsia"/>
        </w:rPr>
        <w:t>绩效评价报告正文</w:t>
      </w:r>
      <w:bookmarkEnd w:id="33"/>
    </w:p>
    <w:p>
      <w:pPr>
        <w:pStyle w:val="29"/>
        <w:ind w:firstLine="1401" w:firstLineChars="500"/>
        <w:jc w:val="both"/>
        <w:rPr>
          <w:rFonts w:hint="eastAsia"/>
          <w:sz w:val="28"/>
          <w:szCs w:val="22"/>
          <w:lang w:val="en-US" w:eastAsia="zh-CN"/>
        </w:rPr>
      </w:pPr>
    </w:p>
    <w:p>
      <w:pPr>
        <w:pStyle w:val="36"/>
        <w:shd w:val="clear" w:color="auto" w:fill="FFFFFF"/>
        <w:spacing w:before="0" w:beforeAutospacing="0" w:after="0" w:afterAutospacing="0" w:line="58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为了加强财政专项资金项目支出管理和使用，提高财政资金使用效益和效率，通过对项目执行与完成情况的全面了解和分析，对项目计划的执行、项目资金的筹集、项目效果等情况进行评价，总结项目执行中存在的问题，不断提高财政专项资金投入所产生的社会效益，按照《中华人民共和国预算法》、财政部《财政支出绩效评价管理暂行办法》（财预〔2011〕285号）和《枣庄市直部门预算绩效目标管理办法》（枣财预〔2016〕9号）的相关要求，我们接受枣庄市中区财政局委托，于2019年1月20日至3月16日组织相关人员对</w:t>
      </w:r>
      <w:r>
        <w:rPr>
          <w:rFonts w:hint="eastAsia" w:ascii="仿宋_GB2312" w:hAnsi="楷体" w:eastAsia="仿宋_GB2312"/>
          <w:sz w:val="32"/>
          <w:szCs w:val="32"/>
        </w:rPr>
        <w:t>枣庄市市中区水务局2018年周村水库实施增殖放流项目专项资金</w:t>
      </w:r>
      <w:r>
        <w:rPr>
          <w:rFonts w:hint="eastAsia" w:ascii="仿宋_GB2312" w:hAnsi="仿宋" w:eastAsia="仿宋_GB2312" w:cs="Times New Roman"/>
          <w:kern w:val="2"/>
          <w:sz w:val="32"/>
          <w:szCs w:val="32"/>
        </w:rPr>
        <w:t>的管理和使用情况进行了绩效评价工作，我们在通过实地调查、核实、收集、座谈、汇总、分析绩效相关资料的基础上，对照绩效评价指标和标准进行评议和打分，对项目资金的使用、项目执行的效果进行汇总分析，形成了</w:t>
      </w:r>
      <w:r>
        <w:rPr>
          <w:rFonts w:hint="eastAsia" w:ascii="仿宋_GB2312" w:hAnsi="楷体" w:eastAsia="仿宋_GB2312"/>
          <w:sz w:val="32"/>
          <w:szCs w:val="32"/>
        </w:rPr>
        <w:t>周村水库实施增殖放流项目</w:t>
      </w:r>
      <w:r>
        <w:rPr>
          <w:rFonts w:hint="eastAsia" w:ascii="仿宋_GB2312" w:hAnsi="仿宋" w:eastAsia="仿宋_GB2312" w:cs="Times New Roman"/>
          <w:kern w:val="2"/>
          <w:sz w:val="32"/>
          <w:szCs w:val="32"/>
        </w:rPr>
        <w:t>绩效评价报告。</w:t>
      </w:r>
    </w:p>
    <w:p>
      <w:pPr>
        <w:pStyle w:val="23"/>
        <w:spacing w:line="580" w:lineRule="exact"/>
        <w:ind w:firstLine="640"/>
      </w:pPr>
      <w:bookmarkStart w:id="34" w:name="_Toc491438401"/>
      <w:bookmarkStart w:id="35" w:name="_Toc489949642"/>
      <w:bookmarkStart w:id="36" w:name="_Toc489015043"/>
      <w:bookmarkStart w:id="37" w:name="_Toc489005361"/>
      <w:bookmarkStart w:id="38" w:name="_Toc489005214"/>
      <w:bookmarkStart w:id="39" w:name="_Toc452281526"/>
      <w:bookmarkStart w:id="40" w:name="_Toc451267672"/>
      <w:bookmarkStart w:id="41" w:name="_Toc451267496"/>
      <w:bookmarkStart w:id="42" w:name="_Toc451266231"/>
      <w:bookmarkStart w:id="43" w:name="_Toc451246039"/>
      <w:r>
        <w:rPr>
          <w:rFonts w:hint="eastAsia"/>
        </w:rPr>
        <w:t>一、项目基本情况</w:t>
      </w:r>
      <w:bookmarkEnd w:id="34"/>
      <w:bookmarkEnd w:id="35"/>
      <w:bookmarkEnd w:id="36"/>
      <w:bookmarkEnd w:id="37"/>
      <w:bookmarkEnd w:id="38"/>
      <w:bookmarkEnd w:id="39"/>
      <w:bookmarkEnd w:id="40"/>
      <w:bookmarkEnd w:id="41"/>
      <w:bookmarkEnd w:id="42"/>
      <w:bookmarkEnd w:id="43"/>
    </w:p>
    <w:p>
      <w:pPr>
        <w:pStyle w:val="24"/>
        <w:ind w:firstLine="564" w:firstLineChars="170"/>
        <w:outlineLvl w:val="2"/>
        <w:rPr>
          <w:szCs w:val="32"/>
        </w:rPr>
      </w:pPr>
      <w:bookmarkStart w:id="44" w:name="_Toc491438402"/>
      <w:bookmarkStart w:id="45" w:name="_Toc489949643"/>
      <w:r>
        <w:rPr>
          <w:rFonts w:hint="eastAsia"/>
        </w:rPr>
        <w:t>（一）项目概况</w:t>
      </w:r>
      <w:bookmarkEnd w:id="44"/>
      <w:bookmarkEnd w:id="45"/>
    </w:p>
    <w:p>
      <w:pPr>
        <w:pStyle w:val="22"/>
        <w:tabs>
          <w:tab w:val="left" w:pos="709"/>
          <w:tab w:val="left" w:pos="851"/>
          <w:tab w:val="left" w:pos="8220"/>
        </w:tabs>
        <w:spacing w:line="580" w:lineRule="exact"/>
        <w:ind w:firstLine="567" w:firstLineChars="0"/>
        <w:jc w:val="left"/>
        <w:outlineLvl w:val="1"/>
        <w:rPr>
          <w:rFonts w:ascii="仿宋_GB2312" w:hAnsi="楷体" w:eastAsia="仿宋_GB2312" w:cs="宋体"/>
          <w:kern w:val="0"/>
          <w:sz w:val="32"/>
          <w:szCs w:val="32"/>
        </w:rPr>
      </w:pPr>
      <w:r>
        <w:rPr>
          <w:rFonts w:hint="eastAsia" w:ascii="仿宋_GB2312" w:hAnsi="楷体" w:eastAsia="仿宋_GB2312" w:cs="宋体"/>
          <w:kern w:val="0"/>
          <w:sz w:val="32"/>
          <w:szCs w:val="32"/>
        </w:rPr>
        <w:t>枣庄市市中区周村水库是市中区城市水源地，全年供水</w:t>
      </w:r>
      <w:r>
        <w:rPr>
          <w:rFonts w:ascii="仿宋_GB2312" w:hAnsi="楷体" w:eastAsia="仿宋_GB2312" w:cs="宋体"/>
          <w:kern w:val="0"/>
          <w:sz w:val="32"/>
          <w:szCs w:val="32"/>
        </w:rPr>
        <w:t>1500万立方，负责保障城区40万人口饮用水供水需求，市区两级政府高度重视水库水源地保护，为持续恢复周村水库生态环境，提升渔业生产能力，加大水生生物资源的养护和修复力度，保护好水源地生态环境，治理周村水库水源地水质，保障城市水源地水质、恢复渔业资源、增加库区群众收入在周村水库实施增殖放流项目。2018年中央财政补助专项资金20万元，用于周村水库增殖放流项目。</w:t>
      </w:r>
    </w:p>
    <w:p>
      <w:pPr>
        <w:pStyle w:val="24"/>
        <w:ind w:firstLine="664"/>
        <w:rPr>
          <w:color w:val="000000" w:themeColor="text1"/>
          <w:szCs w:val="32"/>
        </w:rPr>
      </w:pPr>
      <w:bookmarkStart w:id="46" w:name="_Toc489949644"/>
      <w:r>
        <w:rPr>
          <w:rFonts w:hint="eastAsia"/>
          <w:color w:val="000000" w:themeColor="text1"/>
        </w:rPr>
        <w:t>（二）项目绩效目标</w:t>
      </w:r>
      <w:bookmarkEnd w:id="46"/>
    </w:p>
    <w:p>
      <w:pPr>
        <w:pStyle w:val="24"/>
        <w:ind w:firstLine="544" w:firstLineChars="170"/>
        <w:rPr>
          <w:rFonts w:ascii="仿宋_GB2312" w:hAnsi="黑体" w:eastAsia="仿宋_GB2312" w:cs="Times New Roman"/>
          <w:color w:val="000000" w:themeColor="text1"/>
          <w:spacing w:val="0"/>
          <w:szCs w:val="32"/>
        </w:rPr>
      </w:pPr>
      <w:bookmarkStart w:id="47" w:name="_Toc489949645"/>
      <w:r>
        <w:rPr>
          <w:rFonts w:hint="eastAsia" w:ascii="仿宋_GB2312" w:hAnsi="黑体" w:eastAsia="仿宋_GB2312" w:cs="Times New Roman"/>
          <w:color w:val="000000" w:themeColor="text1"/>
          <w:spacing w:val="0"/>
          <w:szCs w:val="32"/>
        </w:rPr>
        <w:t>项目绩效目标是水库增殖放流后，改善库区水质，使水体透明度增加，藻类数量减少，水质逐步达到国家二类水质标准，带动库区群众就业，增加收入，提高城市供水群众对饮用水的满意度及库区群众对就业收入的满意度。</w:t>
      </w:r>
    </w:p>
    <w:p>
      <w:pPr>
        <w:pStyle w:val="24"/>
        <w:ind w:firstLine="564" w:firstLineChars="170"/>
        <w:rPr>
          <w:color w:val="000000" w:themeColor="text1"/>
        </w:rPr>
      </w:pPr>
      <w:r>
        <w:rPr>
          <w:rFonts w:hint="eastAsia"/>
          <w:color w:val="000000" w:themeColor="text1"/>
        </w:rPr>
        <w:t>（三）项目预算</w:t>
      </w:r>
      <w:bookmarkEnd w:id="47"/>
    </w:p>
    <w:p>
      <w:pPr>
        <w:pStyle w:val="24"/>
        <w:tabs>
          <w:tab w:val="left" w:pos="8222"/>
        </w:tabs>
        <w:ind w:firstLine="640"/>
        <w:rPr>
          <w:rFonts w:ascii="仿宋_GB2312" w:hAnsi="黑体" w:eastAsia="仿宋_GB2312" w:cs="Times New Roman"/>
          <w:color w:val="000000" w:themeColor="text1"/>
          <w:spacing w:val="0"/>
          <w:szCs w:val="32"/>
        </w:rPr>
      </w:pPr>
      <w:bookmarkStart w:id="48" w:name="_Toc489949646"/>
      <w:r>
        <w:rPr>
          <w:rFonts w:hint="eastAsia" w:ascii="仿宋_GB2312" w:hAnsi="黑体" w:eastAsia="仿宋_GB2312" w:cs="Times New Roman"/>
          <w:color w:val="000000" w:themeColor="text1"/>
          <w:spacing w:val="0"/>
          <w:szCs w:val="32"/>
        </w:rPr>
        <w:t>市中区财政下发《关于下达</w:t>
      </w:r>
      <w:r>
        <w:rPr>
          <w:rFonts w:ascii="仿宋_GB2312" w:hAnsi="黑体" w:eastAsia="仿宋_GB2312" w:cs="Times New Roman"/>
          <w:color w:val="000000" w:themeColor="text1"/>
          <w:spacing w:val="0"/>
          <w:szCs w:val="32"/>
        </w:rPr>
        <w:t>2018年中央财政农业资源及生态保护补助资金预算指标的通知》市中财农</w:t>
      </w:r>
      <w:r>
        <w:rPr>
          <w:rFonts w:hint="eastAsia" w:ascii="仿宋_GB2312" w:hAnsi="黑体" w:eastAsia="仿宋_GB2312" w:cs="Times New Roman"/>
          <w:color w:val="000000" w:themeColor="text1"/>
          <w:spacing w:val="0"/>
          <w:szCs w:val="32"/>
        </w:rPr>
        <w:t>指</w:t>
      </w:r>
      <w:r>
        <w:rPr>
          <w:rFonts w:ascii="仿宋_GB2312" w:hAnsi="黑体" w:eastAsia="仿宋_GB2312" w:cs="Times New Roman"/>
          <w:color w:val="000000" w:themeColor="text1"/>
          <w:spacing w:val="0"/>
          <w:szCs w:val="32"/>
        </w:rPr>
        <w:t>[2018]40号，下达区周村水库管理局预算指标20万元。</w:t>
      </w:r>
    </w:p>
    <w:p>
      <w:pPr>
        <w:pStyle w:val="24"/>
        <w:ind w:firstLine="564" w:firstLineChars="170"/>
        <w:outlineLvl w:val="2"/>
        <w:rPr>
          <w:color w:val="000000" w:themeColor="text1"/>
        </w:rPr>
      </w:pPr>
      <w:bookmarkStart w:id="49" w:name="_Toc491438403"/>
      <w:r>
        <w:rPr>
          <w:rFonts w:hint="eastAsia"/>
          <w:color w:val="000000" w:themeColor="text1"/>
        </w:rPr>
        <w:t>（四）项目计划实施内容</w:t>
      </w:r>
      <w:bookmarkEnd w:id="48"/>
      <w:bookmarkEnd w:id="49"/>
    </w:p>
    <w:p>
      <w:pPr>
        <w:pStyle w:val="22"/>
        <w:spacing w:line="580" w:lineRule="exact"/>
        <w:ind w:firstLine="694" w:firstLineChars="217"/>
        <w:rPr>
          <w:rFonts w:ascii="仿宋_GB2312" w:hAnsi="楷体" w:eastAsia="仿宋_GB2312" w:cs="宋体"/>
          <w:color w:val="000000" w:themeColor="text1"/>
          <w:kern w:val="0"/>
          <w:sz w:val="32"/>
          <w:szCs w:val="32"/>
        </w:rPr>
      </w:pPr>
      <w:r>
        <w:rPr>
          <w:rFonts w:hint="eastAsia" w:ascii="仿宋_GB2312" w:hAnsi="仿宋" w:eastAsia="仿宋_GB2312"/>
          <w:sz w:val="32"/>
          <w:szCs w:val="32"/>
        </w:rPr>
        <w:t>项目计划实施内容为</w:t>
      </w:r>
      <w:r>
        <w:rPr>
          <w:rFonts w:hint="eastAsia" w:ascii="仿宋_GB2312" w:hAnsi="楷体" w:eastAsia="仿宋_GB2312" w:cs="宋体"/>
          <w:color w:val="000000" w:themeColor="text1"/>
          <w:kern w:val="0"/>
          <w:sz w:val="32"/>
          <w:szCs w:val="32"/>
        </w:rPr>
        <w:t>2018年在周村水库实施渔业增殖放流，计划在周村水库水源地放流鲢鱼40万尾，鳙鱼60万尾，共计100万尾。</w:t>
      </w:r>
    </w:p>
    <w:p>
      <w:pPr>
        <w:pStyle w:val="24"/>
        <w:ind w:firstLine="424" w:firstLineChars="128"/>
        <w:outlineLvl w:val="2"/>
      </w:pPr>
      <w:bookmarkStart w:id="50" w:name="_Toc489949647"/>
      <w:bookmarkStart w:id="51" w:name="_Toc491438404"/>
      <w:r>
        <w:rPr>
          <w:rFonts w:hint="eastAsia"/>
        </w:rPr>
        <w:t>（五）项目组织管理</w:t>
      </w:r>
      <w:bookmarkEnd w:id="50"/>
      <w:bookmarkEnd w:id="51"/>
    </w:p>
    <w:p>
      <w:pPr>
        <w:pStyle w:val="22"/>
        <w:spacing w:line="580" w:lineRule="exact"/>
        <w:ind w:left="-143" w:leftChars="-46" w:firstLine="640"/>
        <w:rPr>
          <w:rFonts w:ascii="仿宋_GB2312" w:hAnsi="仿宋" w:eastAsia="仿宋_GB2312"/>
          <w:sz w:val="32"/>
          <w:szCs w:val="32"/>
        </w:rPr>
      </w:pPr>
      <w:r>
        <w:rPr>
          <w:rFonts w:hint="eastAsia" w:ascii="仿宋_GB2312" w:hAnsi="楷体" w:eastAsia="仿宋_GB2312"/>
          <w:sz w:val="32"/>
          <w:szCs w:val="32"/>
        </w:rPr>
        <w:t>项目主管部门为枣庄市市中区水务局，具体实施单位为枣庄市市中区周村水库管理局。枣庄市市中区水务局</w:t>
      </w:r>
      <w:r>
        <w:rPr>
          <w:rFonts w:hint="eastAsia" w:ascii="仿宋_GB2312" w:hAnsi="仿宋" w:eastAsia="仿宋_GB2312"/>
          <w:sz w:val="32"/>
          <w:szCs w:val="32"/>
        </w:rPr>
        <w:t>的职责为对放流情况进行检查监督，保证该项目实施到位。</w:t>
      </w:r>
    </w:p>
    <w:p>
      <w:pPr>
        <w:pStyle w:val="22"/>
        <w:spacing w:line="580" w:lineRule="exact"/>
        <w:ind w:left="-143" w:leftChars="-46" w:firstLine="640"/>
        <w:rPr>
          <w:rFonts w:ascii="仿宋_GB2312" w:hAnsi="仿宋" w:eastAsia="仿宋_GB2312"/>
          <w:color w:val="000000" w:themeColor="text1"/>
          <w:sz w:val="32"/>
          <w:szCs w:val="32"/>
        </w:rPr>
      </w:pPr>
      <w:r>
        <w:rPr>
          <w:rFonts w:hint="eastAsia" w:ascii="仿宋_GB2312" w:hAnsi="楷体" w:eastAsia="仿宋_GB2312"/>
          <w:color w:val="000000" w:themeColor="text1"/>
          <w:sz w:val="32"/>
          <w:szCs w:val="32"/>
        </w:rPr>
        <w:t>枣庄市市中区周村水库管理局</w:t>
      </w:r>
      <w:r>
        <w:rPr>
          <w:rFonts w:hint="eastAsia" w:ascii="仿宋_GB2312" w:hAnsi="仿宋" w:eastAsia="仿宋_GB2312"/>
          <w:color w:val="000000" w:themeColor="text1"/>
          <w:sz w:val="32"/>
          <w:szCs w:val="32"/>
        </w:rPr>
        <w:t>的职责为按照实施方案实施放流项目；建立和完善资金拨付台账；对实施情况进行实时监控，做好放流后的保障工作。</w:t>
      </w:r>
    </w:p>
    <w:p>
      <w:pPr>
        <w:pStyle w:val="22"/>
        <w:spacing w:line="580" w:lineRule="exact"/>
        <w:ind w:left="-143" w:leftChars="-46" w:firstLine="620" w:firstLineChars="194"/>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枣庄市市中区水务局在项目执行过程制定了《专项资金管理办法》等相关管理制度，项目实施过程中严格按照各项管理制度执行，确保了项目的顺利实施及财政资金的安全使用。</w:t>
      </w:r>
      <w:bookmarkStart w:id="52" w:name="_Toc450746334"/>
      <w:bookmarkStart w:id="53" w:name="_Toc450746367"/>
      <w:bookmarkStart w:id="54" w:name="_Toc414346172"/>
      <w:bookmarkStart w:id="55" w:name="_Toc414624362"/>
      <w:bookmarkStart w:id="56" w:name="_Toc451246040"/>
      <w:bookmarkStart w:id="57" w:name="_Toc451266232"/>
      <w:bookmarkStart w:id="58" w:name="_Toc451267497"/>
      <w:bookmarkStart w:id="59" w:name="_Toc451267673"/>
      <w:bookmarkStart w:id="60" w:name="_Toc452281527"/>
    </w:p>
    <w:p>
      <w:pPr>
        <w:pStyle w:val="23"/>
        <w:spacing w:line="580" w:lineRule="exact"/>
        <w:ind w:firstLine="640"/>
      </w:pPr>
      <w:bookmarkStart w:id="61" w:name="_Toc489949648"/>
      <w:bookmarkStart w:id="62" w:name="_Toc491438405"/>
      <w:bookmarkStart w:id="63" w:name="_Toc489015044"/>
      <w:bookmarkStart w:id="64" w:name="_Toc489005362"/>
      <w:bookmarkStart w:id="65" w:name="_Toc489005215"/>
      <w:r>
        <w:rPr>
          <w:rFonts w:hint="eastAsia"/>
        </w:rPr>
        <w:t>二、绩效评价情况</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24"/>
        <w:ind w:firstLine="564" w:firstLineChars="170"/>
        <w:outlineLvl w:val="2"/>
      </w:pPr>
      <w:r>
        <w:rPr>
          <w:rFonts w:hint="eastAsia"/>
        </w:rPr>
        <w:t xml:space="preserve"> </w:t>
      </w:r>
      <w:bookmarkStart w:id="66" w:name="_Toc489949649"/>
      <w:bookmarkStart w:id="67" w:name="_Toc491438406"/>
      <w:r>
        <w:rPr>
          <w:rFonts w:hint="eastAsia"/>
        </w:rPr>
        <w:t>（一）评价目的</w:t>
      </w:r>
      <w:bookmarkEnd w:id="66"/>
      <w:bookmarkEnd w:id="67"/>
    </w:p>
    <w:p>
      <w:pPr>
        <w:pStyle w:val="28"/>
        <w:spacing w:line="580" w:lineRule="exact"/>
        <w:ind w:firstLine="664"/>
        <w:rPr>
          <w:rFonts w:ascii="仿宋_GB2312" w:hAnsi="仿宋"/>
          <w:sz w:val="32"/>
          <w:szCs w:val="32"/>
        </w:rPr>
      </w:pPr>
      <w:r>
        <w:rPr>
          <w:rFonts w:hint="eastAsia" w:ascii="仿宋_GB2312" w:hAnsi="仿宋"/>
          <w:sz w:val="32"/>
          <w:szCs w:val="32"/>
        </w:rPr>
        <w:t>根据财政部《财政支出绩效评价管理暂行办法》（财预</w:t>
      </w:r>
      <w:r>
        <w:rPr>
          <w:rFonts w:hint="eastAsia" w:ascii="仿宋_GB2312" w:cs="宋体"/>
          <w:sz w:val="32"/>
          <w:szCs w:val="32"/>
        </w:rPr>
        <w:t>〔2011〕285号）、《枣庄市市直部门预算绩效目标管理办法》（枣财预〔2016〕9号）的要求，此次</w:t>
      </w:r>
      <w:r>
        <w:rPr>
          <w:rFonts w:hint="eastAsia" w:ascii="仿宋_GB2312" w:hAnsi="仿宋"/>
          <w:sz w:val="32"/>
          <w:szCs w:val="32"/>
        </w:rPr>
        <w:t>对</w:t>
      </w:r>
      <w:r>
        <w:rPr>
          <w:rFonts w:hint="eastAsia" w:ascii="仿宋_GB2312" w:hAnsi="黑体"/>
          <w:sz w:val="32"/>
          <w:szCs w:val="32"/>
        </w:rPr>
        <w:t>周村水库增殖放流项目</w:t>
      </w:r>
      <w:r>
        <w:rPr>
          <w:rFonts w:hint="eastAsia" w:ascii="仿宋_GB2312" w:hAnsi="仿宋"/>
          <w:sz w:val="32"/>
          <w:szCs w:val="32"/>
        </w:rPr>
        <w:t>实施情况进行</w:t>
      </w:r>
      <w:r>
        <w:rPr>
          <w:rFonts w:hint="eastAsia" w:ascii="仿宋_GB2312" w:cs="宋体"/>
          <w:sz w:val="32"/>
          <w:szCs w:val="32"/>
        </w:rPr>
        <w:t>绩效评价，是</w:t>
      </w:r>
      <w:r>
        <w:rPr>
          <w:rFonts w:hint="eastAsia" w:ascii="仿宋_GB2312" w:hAnsi="仿宋"/>
          <w:sz w:val="32"/>
          <w:szCs w:val="32"/>
        </w:rPr>
        <w:t>了解资金</w:t>
      </w:r>
      <w:r>
        <w:rPr>
          <w:rFonts w:hint="eastAsia" w:ascii="仿宋_GB2312" w:hAnsi="仿宋"/>
          <w:color w:val="000000" w:themeColor="text1"/>
          <w:sz w:val="32"/>
          <w:szCs w:val="32"/>
        </w:rPr>
        <w:t>落实、业务管理、</w:t>
      </w:r>
      <w:r>
        <w:rPr>
          <w:rFonts w:hint="eastAsia" w:ascii="仿宋_GB2312" w:hAnsi="仿宋"/>
          <w:sz w:val="32"/>
          <w:szCs w:val="32"/>
        </w:rPr>
        <w:t>财务管理、项目实施情况及社会效益等有关情况，</w:t>
      </w:r>
      <w:r>
        <w:rPr>
          <w:rFonts w:hint="eastAsia" w:ascii="仿宋_GB2312" w:cs="宋体"/>
          <w:sz w:val="32"/>
          <w:szCs w:val="32"/>
        </w:rPr>
        <w:t>加强财政支出管理，提高资金使用效率，检查财政支出项目的预期目标是否实现，项目是否执行相关管理规定，帮助项目单位分析存在的问题，及时总结经验，改进项目管理措施，提高项目单位绩效管理水平，进一步</w:t>
      </w:r>
      <w:r>
        <w:rPr>
          <w:rFonts w:hint="eastAsia" w:ascii="仿宋_GB2312" w:hAnsi="仿宋"/>
          <w:sz w:val="32"/>
          <w:szCs w:val="32"/>
        </w:rPr>
        <w:t>增强财政资金使用效率和效益提供参考。</w:t>
      </w:r>
    </w:p>
    <w:p>
      <w:pPr>
        <w:pStyle w:val="28"/>
        <w:spacing w:line="580" w:lineRule="exact"/>
        <w:ind w:firstLine="664"/>
        <w:rPr>
          <w:rFonts w:ascii="仿宋_GB2312" w:hAnsi="仿宋" w:cs="仿宋"/>
          <w:sz w:val="32"/>
          <w:szCs w:val="32"/>
        </w:rPr>
      </w:pPr>
      <w:r>
        <w:rPr>
          <w:rFonts w:hint="eastAsia" w:ascii="仿宋_GB2312" w:hAnsi="仿宋"/>
          <w:sz w:val="32"/>
          <w:szCs w:val="32"/>
        </w:rPr>
        <w:t>通过绩效评价，可以衡量项目资金使用效率，掌握项目资金使用的规范性、科学性，分析项目支出绩效目标的完成情况，总结经验，分析存在问题，改进预算管理、优化资源配置，不断提高项目资金支出管理水平。</w:t>
      </w:r>
    </w:p>
    <w:p>
      <w:pPr>
        <w:pStyle w:val="24"/>
        <w:ind w:firstLine="664"/>
        <w:outlineLvl w:val="2"/>
      </w:pPr>
      <w:bookmarkStart w:id="68" w:name="_Toc489949650"/>
      <w:bookmarkStart w:id="69" w:name="_Toc491438407"/>
      <w:r>
        <w:rPr>
          <w:rFonts w:hint="eastAsia"/>
        </w:rPr>
        <w:t>（二）评价对象与范围</w:t>
      </w:r>
      <w:bookmarkEnd w:id="68"/>
      <w:bookmarkEnd w:id="69"/>
    </w:p>
    <w:p>
      <w:pPr>
        <w:pStyle w:val="28"/>
        <w:spacing w:line="580" w:lineRule="exact"/>
        <w:ind w:firstLine="664"/>
        <w:rPr>
          <w:rFonts w:ascii="仿宋_GB2312" w:hAnsi="仿宋"/>
          <w:sz w:val="32"/>
          <w:szCs w:val="32"/>
        </w:rPr>
      </w:pPr>
      <w:r>
        <w:rPr>
          <w:rFonts w:hint="eastAsia" w:ascii="仿宋_GB2312" w:hAnsi="仿宋"/>
          <w:sz w:val="32"/>
          <w:szCs w:val="32"/>
        </w:rPr>
        <w:t>评价对象为2018年度</w:t>
      </w:r>
      <w:r>
        <w:rPr>
          <w:rFonts w:hint="eastAsia" w:ascii="仿宋_GB2312" w:hAnsi="黑体"/>
          <w:sz w:val="32"/>
          <w:szCs w:val="32"/>
        </w:rPr>
        <w:t>周村水库增殖放流项目</w:t>
      </w:r>
      <w:r>
        <w:rPr>
          <w:rFonts w:hint="eastAsia" w:ascii="仿宋_GB2312" w:hAnsi="仿宋"/>
          <w:sz w:val="32"/>
          <w:szCs w:val="32"/>
        </w:rPr>
        <w:t>20万元的使用绩效；评价范围为</w:t>
      </w:r>
      <w:r>
        <w:rPr>
          <w:rFonts w:hint="eastAsia" w:ascii="仿宋_GB2312" w:hAnsi="楷体" w:cs="宋体"/>
          <w:color w:val="000000" w:themeColor="text1"/>
          <w:kern w:val="0"/>
          <w:sz w:val="32"/>
          <w:szCs w:val="32"/>
        </w:rPr>
        <w:t>枣庄市市中区水务局</w:t>
      </w:r>
      <w:r>
        <w:rPr>
          <w:rFonts w:hint="eastAsia" w:ascii="仿宋_GB2312" w:hAnsi="仿宋"/>
          <w:sz w:val="32"/>
          <w:szCs w:val="32"/>
        </w:rPr>
        <w:t>管理的周村水库增殖放流项目；评价基准日为2018年12月31日，截止基准日区级财政专项资金20万已全额到位，项目共计支付20万元，均支付到已签订购买合同的枣庄市淡水养殖试验场。</w:t>
      </w:r>
      <w:r>
        <w:rPr>
          <w:rFonts w:ascii="仿宋_GB2312" w:hAnsi="仿宋"/>
          <w:sz w:val="32"/>
          <w:szCs w:val="32"/>
        </w:rPr>
        <w:t xml:space="preserve"> </w:t>
      </w:r>
    </w:p>
    <w:p>
      <w:pPr>
        <w:pStyle w:val="24"/>
        <w:ind w:firstLine="664"/>
        <w:outlineLvl w:val="2"/>
      </w:pPr>
      <w:bookmarkStart w:id="70" w:name="_Toc491438408"/>
      <w:bookmarkStart w:id="71" w:name="_Toc489949651"/>
      <w:r>
        <w:rPr>
          <w:rFonts w:hint="eastAsia"/>
        </w:rPr>
        <w:t>（三）评价依据</w:t>
      </w:r>
      <w:bookmarkEnd w:id="70"/>
      <w:bookmarkEnd w:id="71"/>
    </w:p>
    <w:p>
      <w:pPr>
        <w:pStyle w:val="28"/>
        <w:spacing w:line="580" w:lineRule="exact"/>
        <w:ind w:firstLine="664"/>
        <w:rPr>
          <w:rFonts w:ascii="仿宋_GB2312" w:hAnsi="仿宋"/>
          <w:sz w:val="32"/>
          <w:szCs w:val="32"/>
        </w:rPr>
      </w:pPr>
      <w:r>
        <w:rPr>
          <w:rFonts w:hint="eastAsia" w:ascii="仿宋_GB2312" w:hAnsi="仿宋"/>
          <w:sz w:val="32"/>
          <w:szCs w:val="32"/>
        </w:rPr>
        <w:t>（1）《中华人民共和国预算法》</w:t>
      </w:r>
    </w:p>
    <w:p>
      <w:pPr>
        <w:pStyle w:val="28"/>
        <w:tabs>
          <w:tab w:val="left" w:pos="1418"/>
        </w:tabs>
        <w:spacing w:line="580" w:lineRule="exact"/>
        <w:ind w:firstLine="664"/>
        <w:rPr>
          <w:rFonts w:ascii="仿宋_GB2312" w:hAnsi="仿宋"/>
          <w:sz w:val="32"/>
          <w:szCs w:val="32"/>
        </w:rPr>
      </w:pPr>
      <w:r>
        <w:rPr>
          <w:rFonts w:hint="eastAsia" w:ascii="仿宋_GB2312" w:hAnsi="仿宋"/>
          <w:sz w:val="32"/>
          <w:szCs w:val="32"/>
        </w:rPr>
        <w:t>（2） 《财政支出绩效评价管理暂行办法》（财预</w:t>
      </w:r>
      <w:r>
        <w:rPr>
          <w:rFonts w:hint="eastAsia" w:ascii="仿宋_GB2312" w:hAnsi="仿宋" w:cs="仿宋"/>
          <w:sz w:val="32"/>
          <w:szCs w:val="32"/>
        </w:rPr>
        <w:t>〔</w:t>
      </w:r>
      <w:r>
        <w:rPr>
          <w:rFonts w:hint="eastAsia" w:ascii="仿宋_GB2312" w:hAnsi="仿宋"/>
          <w:sz w:val="32"/>
          <w:szCs w:val="32"/>
        </w:rPr>
        <w:t>2011</w:t>
      </w:r>
      <w:r>
        <w:rPr>
          <w:rFonts w:hint="eastAsia" w:ascii="仿宋_GB2312" w:hAnsi="仿宋" w:cs="仿宋"/>
          <w:sz w:val="32"/>
          <w:szCs w:val="32"/>
        </w:rPr>
        <w:t>〕</w:t>
      </w:r>
      <w:r>
        <w:rPr>
          <w:rFonts w:hint="eastAsia" w:ascii="仿宋_GB2312" w:hAnsi="仿宋"/>
          <w:sz w:val="32"/>
          <w:szCs w:val="32"/>
        </w:rPr>
        <w:t>285号）</w:t>
      </w:r>
    </w:p>
    <w:p>
      <w:pPr>
        <w:pStyle w:val="28"/>
        <w:spacing w:line="580" w:lineRule="exact"/>
        <w:ind w:firstLine="664"/>
        <w:rPr>
          <w:rFonts w:ascii="仿宋_GB2312" w:hAnsi="仿宋"/>
          <w:sz w:val="32"/>
          <w:szCs w:val="32"/>
        </w:rPr>
      </w:pPr>
      <w:r>
        <w:rPr>
          <w:rFonts w:hint="eastAsia" w:ascii="仿宋_GB2312" w:hAnsi="仿宋"/>
          <w:sz w:val="32"/>
          <w:szCs w:val="32"/>
        </w:rPr>
        <w:t>（3）《枣庄市市直部门预算绩效目标管理办法》（枣财预〔2016〕9号）</w:t>
      </w:r>
    </w:p>
    <w:p>
      <w:pPr>
        <w:pStyle w:val="28"/>
        <w:spacing w:line="580" w:lineRule="exact"/>
        <w:ind w:firstLine="664"/>
        <w:rPr>
          <w:rFonts w:ascii="仿宋_GB2312" w:hAnsi="黑体"/>
          <w:color w:val="000000" w:themeColor="text1"/>
          <w:sz w:val="32"/>
          <w:szCs w:val="32"/>
        </w:rPr>
      </w:pPr>
      <w:r>
        <w:rPr>
          <w:rFonts w:hint="eastAsia" w:ascii="仿宋_GB2312" w:hAnsi="仿宋"/>
          <w:sz w:val="32"/>
          <w:szCs w:val="32"/>
        </w:rPr>
        <w:t>（4）</w:t>
      </w:r>
      <w:r>
        <w:rPr>
          <w:rFonts w:hint="eastAsia" w:ascii="仿宋_GB2312" w:hAnsi="黑体"/>
          <w:sz w:val="32"/>
          <w:szCs w:val="32"/>
        </w:rPr>
        <w:t>《农业资源及生态保护补助资金管理办法》（财农〔2017〕42号）</w:t>
      </w:r>
    </w:p>
    <w:p>
      <w:pPr>
        <w:pStyle w:val="28"/>
        <w:spacing w:line="580" w:lineRule="exact"/>
        <w:ind w:firstLine="664"/>
        <w:rPr>
          <w:rFonts w:ascii="仿宋_GB2312" w:hAnsi="仿宋"/>
          <w:color w:val="FF0000"/>
          <w:sz w:val="32"/>
          <w:szCs w:val="32"/>
        </w:rPr>
      </w:pPr>
      <w:r>
        <w:rPr>
          <w:rFonts w:hint="eastAsia" w:ascii="仿宋_GB2312" w:hAnsi="仿宋"/>
          <w:color w:val="000000" w:themeColor="text1"/>
          <w:sz w:val="32"/>
          <w:szCs w:val="32"/>
        </w:rPr>
        <w:t>（5）</w:t>
      </w:r>
      <w:r>
        <w:rPr>
          <w:rFonts w:hint="eastAsia" w:ascii="仿宋_GB2312" w:hAnsi="黑体"/>
          <w:sz w:val="32"/>
          <w:szCs w:val="32"/>
        </w:rPr>
        <w:t>财政部、农业部《关于做好2017年中央财政农业生产发展等项目实施工作的通知》（农财发[2017</w:t>
      </w:r>
      <w:r>
        <w:rPr>
          <w:rFonts w:hint="eastAsia" w:ascii="仿宋_GB2312" w:hAnsi="黑体"/>
          <w:color w:val="000000" w:themeColor="text1"/>
          <w:sz w:val="32"/>
          <w:szCs w:val="32"/>
        </w:rPr>
        <w:t>]11号）</w:t>
      </w:r>
      <w:r>
        <w:rPr>
          <w:rFonts w:hint="eastAsia" w:ascii="仿宋_GB2312" w:hAnsi="仿宋"/>
          <w:color w:val="000000" w:themeColor="text1"/>
          <w:sz w:val="32"/>
          <w:szCs w:val="32"/>
        </w:rPr>
        <w:t>。</w:t>
      </w:r>
    </w:p>
    <w:p>
      <w:pPr>
        <w:pStyle w:val="28"/>
        <w:spacing w:line="580" w:lineRule="exact"/>
        <w:ind w:firstLine="664"/>
        <w:rPr>
          <w:rFonts w:ascii="仿宋_GB2312" w:hAnsi="仿宋"/>
          <w:color w:val="FF0000"/>
          <w:sz w:val="32"/>
          <w:szCs w:val="32"/>
        </w:rPr>
      </w:pPr>
      <w:r>
        <w:rPr>
          <w:rFonts w:hint="eastAsia" w:ascii="仿宋_GB2312" w:hAnsi="仿宋"/>
          <w:color w:val="000000" w:themeColor="text1"/>
          <w:sz w:val="32"/>
          <w:szCs w:val="32"/>
        </w:rPr>
        <w:t>（6）</w:t>
      </w:r>
      <w:r>
        <w:rPr>
          <w:rFonts w:hint="eastAsia" w:ascii="仿宋_GB2312" w:hAnsi="楷体" w:cs="宋体"/>
          <w:color w:val="000000" w:themeColor="text1"/>
          <w:kern w:val="0"/>
          <w:sz w:val="32"/>
          <w:szCs w:val="32"/>
        </w:rPr>
        <w:t>山东省海</w:t>
      </w:r>
      <w:r>
        <w:rPr>
          <w:rFonts w:hint="eastAsia" w:ascii="仿宋_GB2312" w:hAnsi="楷体" w:cs="宋体"/>
          <w:kern w:val="0"/>
          <w:sz w:val="32"/>
          <w:szCs w:val="32"/>
        </w:rPr>
        <w:t>洋与渔业厅&lt;山东省海洋与渔业厅关于印发《关于做好2018年度我省增殖放流工作的意见的通知》&gt;（鲁海渔函[2018]134号）</w:t>
      </w:r>
    </w:p>
    <w:p>
      <w:pPr>
        <w:pStyle w:val="24"/>
        <w:ind w:firstLine="664"/>
        <w:outlineLvl w:val="2"/>
      </w:pPr>
      <w:bookmarkStart w:id="72" w:name="_Toc491438409"/>
      <w:bookmarkStart w:id="73" w:name="_Toc489949652"/>
      <w:r>
        <w:rPr>
          <w:rFonts w:hint="eastAsia"/>
        </w:rPr>
        <w:t>（四）评价原则、评价方法</w:t>
      </w:r>
      <w:bookmarkEnd w:id="72"/>
      <w:bookmarkEnd w:id="73"/>
    </w:p>
    <w:p>
      <w:pPr>
        <w:pStyle w:val="28"/>
        <w:spacing w:line="580" w:lineRule="exact"/>
        <w:ind w:firstLine="664"/>
        <w:rPr>
          <w:rFonts w:ascii="仿宋_GB2312" w:hAnsi="仿宋"/>
          <w:sz w:val="32"/>
          <w:szCs w:val="32"/>
        </w:rPr>
      </w:pPr>
      <w:r>
        <w:rPr>
          <w:rFonts w:hint="eastAsia" w:ascii="仿宋_GB2312" w:hAnsi="仿宋"/>
          <w:sz w:val="32"/>
          <w:szCs w:val="32"/>
        </w:rPr>
        <w:t>按照项目绩效评价指标体系的要求，采取相关性、重要性及系统性原则相结合、现场评价与非现场评价相结合的方式，综合运用因素分析法、公众评判法等，通过与该项目单位人员座谈、资料核查、选点抽查、电话访谈调查等方法，从项目投入、过程、产出、效果四个方面对项目实施情况进行了全面评价。</w:t>
      </w:r>
    </w:p>
    <w:p>
      <w:pPr>
        <w:pStyle w:val="24"/>
        <w:ind w:firstLine="664"/>
        <w:outlineLvl w:val="2"/>
      </w:pPr>
      <w:bookmarkStart w:id="74" w:name="_Toc491438410"/>
      <w:bookmarkStart w:id="75" w:name="_Toc489949653"/>
      <w:r>
        <w:rPr>
          <w:rFonts w:hint="eastAsia"/>
        </w:rPr>
        <w:t>（五）绩效评价指标体系</w:t>
      </w:r>
      <w:bookmarkEnd w:id="74"/>
      <w:bookmarkEnd w:id="75"/>
    </w:p>
    <w:p>
      <w:pPr>
        <w:pStyle w:val="22"/>
        <w:spacing w:line="580" w:lineRule="exact"/>
        <w:ind w:firstLine="640"/>
        <w:rPr>
          <w:rFonts w:ascii="仿宋_GB2312" w:hAnsi="黑体" w:eastAsia="仿宋_GB2312"/>
          <w:sz w:val="32"/>
          <w:szCs w:val="32"/>
        </w:rPr>
      </w:pPr>
      <w:r>
        <w:rPr>
          <w:rFonts w:hint="eastAsia" w:ascii="仿宋_GB2312" w:hAnsi="仿宋" w:eastAsia="仿宋_GB2312"/>
          <w:sz w:val="32"/>
          <w:szCs w:val="32"/>
        </w:rPr>
        <w:t>绩效评价指标体系的制定主要包括投入、过程、产出和效益四个方面，满分为100分。一是投入（20分），主要评价实施依据的充分性、绩效目标合理性、绩效指标明确性、资金到位率和到位及时性等工作情况；二是过程（30分），主要评价业务管理制度健全性、制度执行有效性、质量可控性、财务管理制度健全性、资金使用率及合规性、财务监控有效性等基础工作开展情况；三是产出（20分），主要评价、项目完成情况、项目完成质量、项目完成及时性等情况；四是效果（30分），主要项目的各项补贴完成情况、社会公众或服务对象对就业补助专项资金的满意度等情况；</w:t>
      </w:r>
      <w:r>
        <w:rPr>
          <w:rFonts w:hint="eastAsia" w:ascii="仿宋_GB2312" w:hAnsi="黑体" w:eastAsia="仿宋_GB2312"/>
          <w:sz w:val="32"/>
          <w:szCs w:val="32"/>
        </w:rPr>
        <w:t>绩效评价关注的重点是评价对象的实际产出和效果，因此，在具体设置绩效评价指标的权重时，产出类及效果类指标在整体权重中占主导地位，</w:t>
      </w:r>
      <w:r>
        <w:rPr>
          <w:rFonts w:hint="eastAsia" w:ascii="仿宋_GB2312" w:hAnsi="仿宋" w:eastAsia="仿宋_GB2312"/>
          <w:sz w:val="32"/>
          <w:szCs w:val="32"/>
        </w:rPr>
        <w:t>以上评价指标数据来源主要为评价人员收集补充及整理出的项目的基础资料，评价人员实地勘察及电话调查问卷。</w:t>
      </w:r>
    </w:p>
    <w:p>
      <w:pPr>
        <w:pStyle w:val="28"/>
        <w:spacing w:line="580" w:lineRule="exact"/>
        <w:ind w:firstLine="664"/>
        <w:rPr>
          <w:rFonts w:ascii="仿宋_GB2312" w:hAnsi="Arial" w:cs="Arial"/>
          <w:sz w:val="27"/>
          <w:szCs w:val="27"/>
          <w:shd w:val="clear" w:color="auto" w:fill="FFFFFF"/>
        </w:rPr>
      </w:pPr>
      <w:r>
        <w:rPr>
          <w:rFonts w:hint="eastAsia" w:ascii="仿宋_GB2312" w:hAnsi="仿宋"/>
          <w:sz w:val="32"/>
          <w:szCs w:val="32"/>
        </w:rPr>
        <w:t>评价过程中按照评价结果分为四个级别：优、良、中、差。</w:t>
      </w:r>
    </w:p>
    <w:p>
      <w:pPr>
        <w:pStyle w:val="28"/>
        <w:spacing w:line="580" w:lineRule="exact"/>
        <w:ind w:firstLine="664"/>
        <w:rPr>
          <w:rFonts w:ascii="仿宋_GB2312" w:hAnsi="仿宋"/>
          <w:sz w:val="32"/>
          <w:szCs w:val="32"/>
        </w:rPr>
      </w:pPr>
      <w:r>
        <w:rPr>
          <w:rFonts w:hint="eastAsia" w:ascii="仿宋_GB2312" w:hAnsi="仿宋"/>
          <w:sz w:val="32"/>
          <w:szCs w:val="32"/>
        </w:rPr>
        <w:t xml:space="preserve">优秀为项目完成情况超过项目制定的指标标准或达标并且成效显著，分值大于或等于90分; </w:t>
      </w:r>
      <w:r>
        <w:rPr>
          <w:rFonts w:hint="eastAsia" w:ascii="仿宋_GB2312" w:hAnsi="仿宋"/>
          <w:sz w:val="32"/>
          <w:szCs w:val="32"/>
        </w:rPr>
        <w:br w:type="textWrapping"/>
      </w:r>
      <w:r>
        <w:rPr>
          <w:rFonts w:hint="eastAsia" w:ascii="仿宋_GB2312" w:hAnsi="仿宋"/>
          <w:sz w:val="32"/>
          <w:szCs w:val="32"/>
        </w:rPr>
        <w:t xml:space="preserve">    良好为项目完成情况达到项目制定的指标标准要求并且成效明显，分值为80分-89分; </w:t>
      </w:r>
      <w:r>
        <w:rPr>
          <w:rFonts w:hint="eastAsia" w:ascii="仿宋_GB2312" w:hAnsi="仿宋"/>
          <w:sz w:val="32"/>
          <w:szCs w:val="32"/>
        </w:rPr>
        <w:br w:type="textWrapping"/>
      </w:r>
      <w:r>
        <w:rPr>
          <w:rFonts w:hint="eastAsia" w:ascii="仿宋_GB2312" w:hAnsi="仿宋"/>
          <w:sz w:val="32"/>
          <w:szCs w:val="32"/>
        </w:rPr>
        <w:t xml:space="preserve">    中为项目完成情况基本达到项目制定的指标标准要求并且成效一般，分值为65-79分; </w:t>
      </w:r>
    </w:p>
    <w:p>
      <w:pPr>
        <w:pStyle w:val="28"/>
        <w:spacing w:line="580" w:lineRule="exact"/>
        <w:ind w:firstLine="664"/>
        <w:rPr>
          <w:rFonts w:ascii="仿宋_GB2312" w:hAnsi="仿宋"/>
          <w:sz w:val="32"/>
          <w:szCs w:val="32"/>
        </w:rPr>
      </w:pPr>
      <w:r>
        <w:rPr>
          <w:rFonts w:hint="eastAsia" w:ascii="仿宋_GB2312" w:hAnsi="仿宋"/>
          <w:sz w:val="32"/>
          <w:szCs w:val="32"/>
        </w:rPr>
        <w:t xml:space="preserve">差为项目完成情况远低于项目制定的指标标准并且成效较差，分值为65分以下。 </w:t>
      </w:r>
      <w:bookmarkStart w:id="76" w:name="_Toc489949654"/>
      <w:bookmarkStart w:id="77" w:name="_Toc491438411"/>
    </w:p>
    <w:bookmarkEnd w:id="76"/>
    <w:bookmarkEnd w:id="77"/>
    <w:p>
      <w:pPr>
        <w:pStyle w:val="22"/>
        <w:spacing w:line="580" w:lineRule="exact"/>
        <w:ind w:firstLine="320" w:firstLineChars="100"/>
        <w:jc w:val="left"/>
        <w:rPr>
          <w:rFonts w:hAnsi="黑体" w:asciiTheme="majorEastAsia" w:eastAsiaTheme="majorEastAsia"/>
          <w:sz w:val="32"/>
          <w:szCs w:val="32"/>
        </w:rPr>
      </w:pPr>
      <w:bookmarkStart w:id="78" w:name="_Toc491438413"/>
      <w:bookmarkStart w:id="79" w:name="_Toc489949656"/>
      <w:bookmarkStart w:id="80" w:name="_Toc489015045"/>
      <w:bookmarkStart w:id="81" w:name="_Toc489005363"/>
      <w:bookmarkStart w:id="82" w:name="_Toc489005216"/>
      <w:r>
        <w:rPr>
          <w:rFonts w:hint="eastAsia" w:hAnsi="黑体" w:asciiTheme="majorEastAsia" w:eastAsiaTheme="majorEastAsia"/>
          <w:sz w:val="32"/>
          <w:szCs w:val="32"/>
        </w:rPr>
        <w:t>（六）</w:t>
      </w:r>
      <w:bookmarkStart w:id="83" w:name="_Toc491438412"/>
      <w:bookmarkStart w:id="84" w:name="_Toc489949655"/>
      <w:r>
        <w:rPr>
          <w:rFonts w:hint="eastAsia" w:hAnsi="黑体" w:asciiTheme="majorEastAsia" w:eastAsiaTheme="majorEastAsia"/>
          <w:sz w:val="32"/>
          <w:szCs w:val="32"/>
        </w:rPr>
        <w:t>评价人员及工作安排表</w:t>
      </w:r>
    </w:p>
    <w:tbl>
      <w:tblPr>
        <w:tblStyle w:val="18"/>
        <w:tblW w:w="8364" w:type="dxa"/>
        <w:jc w:val="righ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552"/>
        <w:gridCol w:w="1134"/>
        <w:gridCol w:w="1275"/>
        <w:gridCol w:w="885"/>
        <w:gridCol w:w="18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8" w:hRule="atLeast"/>
          <w:jc w:val="right"/>
        </w:trPr>
        <w:tc>
          <w:tcPr>
            <w:tcW w:w="709" w:type="dxa"/>
            <w:vAlign w:val="center"/>
          </w:tcPr>
          <w:p>
            <w:pPr>
              <w:pStyle w:val="22"/>
              <w:spacing w:line="20" w:lineRule="atLeast"/>
              <w:ind w:left="-409" w:leftChars="-131" w:firstLine="276" w:firstLineChars="115"/>
              <w:jc w:val="center"/>
              <w:rPr>
                <w:rFonts w:ascii="仿宋_GB2312" w:hAnsi="黑体" w:eastAsia="仿宋_GB2312" w:cstheme="minorBidi"/>
                <w:sz w:val="24"/>
                <w:szCs w:val="24"/>
              </w:rPr>
            </w:pPr>
            <w:r>
              <w:rPr>
                <w:rFonts w:hint="eastAsia" w:ascii="仿宋_GB2312" w:hAnsi="黑体" w:eastAsia="仿宋_GB2312" w:cstheme="minorBidi"/>
                <w:sz w:val="24"/>
                <w:szCs w:val="24"/>
              </w:rPr>
              <w:t>序号</w:t>
            </w:r>
          </w:p>
        </w:tc>
        <w:tc>
          <w:tcPr>
            <w:tcW w:w="2552" w:type="dxa"/>
            <w:vAlign w:val="center"/>
          </w:tcPr>
          <w:p>
            <w:pPr>
              <w:pStyle w:val="22"/>
              <w:spacing w:line="20" w:lineRule="atLeast"/>
              <w:ind w:firstLine="720" w:firstLineChars="300"/>
              <w:rPr>
                <w:rFonts w:ascii="仿宋_GB2312" w:hAnsi="黑体" w:eastAsia="仿宋_GB2312" w:cstheme="minorBidi"/>
                <w:sz w:val="24"/>
                <w:szCs w:val="24"/>
              </w:rPr>
            </w:pPr>
            <w:r>
              <w:rPr>
                <w:rFonts w:hint="eastAsia" w:ascii="仿宋_GB2312" w:hAnsi="黑体" w:eastAsia="仿宋_GB2312" w:cstheme="minorBidi"/>
                <w:sz w:val="24"/>
                <w:szCs w:val="24"/>
              </w:rPr>
              <w:t>工作内容</w:t>
            </w:r>
          </w:p>
        </w:tc>
        <w:tc>
          <w:tcPr>
            <w:tcW w:w="1134" w:type="dxa"/>
            <w:vAlign w:val="center"/>
          </w:tcPr>
          <w:p>
            <w:pPr>
              <w:pStyle w:val="22"/>
              <w:spacing w:line="20" w:lineRule="atLeast"/>
              <w:ind w:firstLine="120" w:firstLineChars="50"/>
              <w:jc w:val="center"/>
              <w:rPr>
                <w:rFonts w:ascii="仿宋_GB2312" w:hAnsi="黑体" w:eastAsia="仿宋_GB2312" w:cstheme="minorBidi"/>
                <w:sz w:val="24"/>
                <w:szCs w:val="24"/>
              </w:rPr>
            </w:pPr>
            <w:r>
              <w:rPr>
                <w:rFonts w:hint="eastAsia" w:ascii="仿宋_GB2312" w:hAnsi="黑体" w:eastAsia="仿宋_GB2312" w:cstheme="minorBidi"/>
                <w:sz w:val="24"/>
                <w:szCs w:val="24"/>
              </w:rPr>
              <w:t>人员</w:t>
            </w:r>
          </w:p>
        </w:tc>
        <w:tc>
          <w:tcPr>
            <w:tcW w:w="1275" w:type="dxa"/>
            <w:vAlign w:val="center"/>
          </w:tcPr>
          <w:p>
            <w:pPr>
              <w:pStyle w:val="22"/>
              <w:spacing w:line="20" w:lineRule="atLeast"/>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职称</w:t>
            </w:r>
          </w:p>
        </w:tc>
        <w:tc>
          <w:tcPr>
            <w:tcW w:w="885" w:type="dxa"/>
          </w:tcPr>
          <w:p>
            <w:pPr>
              <w:pStyle w:val="22"/>
              <w:spacing w:line="20" w:lineRule="atLeast"/>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完成  时限</w:t>
            </w:r>
          </w:p>
        </w:tc>
        <w:tc>
          <w:tcPr>
            <w:tcW w:w="1809" w:type="dxa"/>
            <w:vAlign w:val="center"/>
          </w:tcPr>
          <w:p>
            <w:pPr>
              <w:pStyle w:val="22"/>
              <w:spacing w:line="20" w:lineRule="atLeast"/>
              <w:ind w:firstLine="360" w:firstLineChars="150"/>
              <w:rPr>
                <w:rFonts w:ascii="仿宋_GB2312" w:hAnsi="黑体" w:eastAsia="仿宋_GB2312" w:cstheme="minorBidi"/>
                <w:sz w:val="24"/>
                <w:szCs w:val="24"/>
              </w:rPr>
            </w:pPr>
            <w:r>
              <w:rPr>
                <w:rFonts w:hint="eastAsia" w:ascii="仿宋_GB2312" w:hAnsi="黑体" w:eastAsia="仿宋_GB2312" w:cstheme="minorBidi"/>
                <w:sz w:val="24"/>
                <w:szCs w:val="24"/>
              </w:rPr>
              <w:t>工作要求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24" w:hRule="atLeast"/>
          <w:jc w:val="right"/>
        </w:trPr>
        <w:tc>
          <w:tcPr>
            <w:tcW w:w="709" w:type="dxa"/>
          </w:tcPr>
          <w:p>
            <w:pPr>
              <w:pStyle w:val="22"/>
              <w:spacing w:line="20" w:lineRule="atLeast"/>
              <w:ind w:firstLine="240" w:firstLineChars="100"/>
              <w:jc w:val="center"/>
              <w:rPr>
                <w:rFonts w:ascii="仿宋_GB2312" w:hAnsi="黑体" w:eastAsia="仿宋_GB2312" w:cstheme="minorBidi"/>
                <w:sz w:val="24"/>
                <w:szCs w:val="24"/>
              </w:rPr>
            </w:pPr>
          </w:p>
          <w:p>
            <w:pPr>
              <w:pStyle w:val="22"/>
              <w:spacing w:line="20" w:lineRule="atLeast"/>
              <w:ind w:firstLine="240" w:firstLineChars="100"/>
              <w:jc w:val="center"/>
              <w:rPr>
                <w:rFonts w:ascii="仿宋_GB2312" w:hAnsi="黑体" w:eastAsia="仿宋_GB2312" w:cstheme="minorBidi"/>
                <w:sz w:val="24"/>
                <w:szCs w:val="24"/>
              </w:rPr>
            </w:pPr>
          </w:p>
          <w:p>
            <w:pPr>
              <w:pStyle w:val="22"/>
              <w:spacing w:line="20" w:lineRule="atLeast"/>
              <w:ind w:firstLine="240" w:firstLineChars="100"/>
              <w:rPr>
                <w:rFonts w:ascii="仿宋_GB2312" w:hAnsi="黑体" w:eastAsia="仿宋_GB2312" w:cstheme="minorBidi"/>
                <w:sz w:val="24"/>
                <w:szCs w:val="24"/>
              </w:rPr>
            </w:pPr>
            <w:r>
              <w:rPr>
                <w:rFonts w:hint="eastAsia" w:ascii="仿宋_GB2312" w:hAnsi="黑体" w:eastAsia="仿宋_GB2312" w:cstheme="minorBidi"/>
                <w:sz w:val="24"/>
                <w:szCs w:val="24"/>
              </w:rPr>
              <w:t>1</w:t>
            </w:r>
          </w:p>
        </w:tc>
        <w:tc>
          <w:tcPr>
            <w:tcW w:w="2552" w:type="dxa"/>
            <w:vAlign w:val="center"/>
          </w:tcPr>
          <w:p>
            <w:pPr>
              <w:pStyle w:val="22"/>
              <w:spacing w:line="20" w:lineRule="atLeast"/>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与项目单位沟通后采集项目相关资料进行整理</w:t>
            </w:r>
          </w:p>
        </w:tc>
        <w:tc>
          <w:tcPr>
            <w:tcW w:w="1134" w:type="dxa"/>
            <w:vAlign w:val="center"/>
          </w:tcPr>
          <w:p>
            <w:pPr>
              <w:pStyle w:val="22"/>
              <w:spacing w:line="20" w:lineRule="atLeast"/>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张辉</w:t>
            </w:r>
          </w:p>
          <w:p>
            <w:pPr>
              <w:pStyle w:val="22"/>
              <w:spacing w:line="20" w:lineRule="atLeast"/>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陈洪霞王玲</w:t>
            </w:r>
          </w:p>
          <w:p>
            <w:pPr>
              <w:pStyle w:val="22"/>
              <w:spacing w:line="20" w:lineRule="atLeast"/>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王晶</w:t>
            </w:r>
          </w:p>
        </w:tc>
        <w:tc>
          <w:tcPr>
            <w:tcW w:w="1275" w:type="dxa"/>
            <w:vAlign w:val="center"/>
          </w:tcPr>
          <w:p>
            <w:pPr>
              <w:pStyle w:val="22"/>
              <w:spacing w:line="20" w:lineRule="atLeast"/>
              <w:ind w:firstLine="0" w:firstLineChars="0"/>
              <w:jc w:val="left"/>
              <w:rPr>
                <w:rFonts w:ascii="仿宋_GB2312" w:hAnsi="黑体" w:eastAsia="仿宋_GB2312" w:cstheme="minorBidi"/>
                <w:sz w:val="24"/>
                <w:szCs w:val="24"/>
              </w:rPr>
            </w:pPr>
          </w:p>
          <w:p>
            <w:pPr>
              <w:pStyle w:val="22"/>
              <w:spacing w:line="20" w:lineRule="atLeast"/>
              <w:ind w:firstLine="0" w:firstLineChars="0"/>
              <w:jc w:val="left"/>
              <w:rPr>
                <w:rFonts w:ascii="仿宋_GB2312" w:hAnsi="黑体" w:eastAsia="仿宋_GB2312" w:cstheme="minorBidi"/>
                <w:sz w:val="24"/>
                <w:szCs w:val="24"/>
              </w:rPr>
            </w:pPr>
            <w:r>
              <w:rPr>
                <w:rFonts w:hint="eastAsia" w:ascii="仿宋_GB2312" w:hAnsi="黑体" w:eastAsia="仿宋_GB2312" w:cstheme="minorBidi"/>
                <w:sz w:val="24"/>
                <w:szCs w:val="24"/>
              </w:rPr>
              <w:t>注册会计师、会计师</w:t>
            </w:r>
          </w:p>
        </w:tc>
        <w:tc>
          <w:tcPr>
            <w:tcW w:w="885" w:type="dxa"/>
            <w:vAlign w:val="center"/>
          </w:tcPr>
          <w:p>
            <w:pPr>
              <w:pStyle w:val="22"/>
              <w:spacing w:line="20" w:lineRule="atLeast"/>
              <w:ind w:firstLine="0" w:firstLineChars="0"/>
              <w:jc w:val="center"/>
              <w:rPr>
                <w:rFonts w:ascii="仿宋_GB2312" w:hAnsi="黑体" w:eastAsia="仿宋_GB2312" w:cstheme="minorBidi"/>
                <w:sz w:val="24"/>
                <w:szCs w:val="24"/>
              </w:rPr>
            </w:pPr>
          </w:p>
          <w:p>
            <w:pPr>
              <w:pStyle w:val="22"/>
              <w:spacing w:line="20" w:lineRule="atLeast"/>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2019年1月31日前</w:t>
            </w:r>
          </w:p>
        </w:tc>
        <w:tc>
          <w:tcPr>
            <w:tcW w:w="1809" w:type="dxa"/>
          </w:tcPr>
          <w:p>
            <w:pPr>
              <w:pStyle w:val="22"/>
              <w:spacing w:line="20" w:lineRule="atLeast"/>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收集资料是绩效评价的核心工作，整理收集到的资料，并对资料合规性进行检查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51" w:hRule="atLeast"/>
          <w:jc w:val="right"/>
        </w:trPr>
        <w:tc>
          <w:tcPr>
            <w:tcW w:w="709" w:type="dxa"/>
          </w:tcPr>
          <w:p>
            <w:pPr>
              <w:pStyle w:val="22"/>
              <w:ind w:firstLine="240" w:firstLineChars="100"/>
              <w:jc w:val="center"/>
              <w:rPr>
                <w:rFonts w:ascii="仿宋_GB2312" w:hAnsi="黑体" w:eastAsia="仿宋_GB2312" w:cstheme="minorBidi"/>
                <w:sz w:val="24"/>
                <w:szCs w:val="24"/>
              </w:rPr>
            </w:pPr>
          </w:p>
          <w:p>
            <w:pPr>
              <w:pStyle w:val="22"/>
              <w:ind w:firstLine="0" w:firstLineChars="0"/>
              <w:jc w:val="center"/>
              <w:rPr>
                <w:rFonts w:ascii="仿宋_GB2312" w:hAnsi="黑体" w:eastAsia="仿宋_GB2312" w:cstheme="minorBidi"/>
                <w:sz w:val="24"/>
                <w:szCs w:val="24"/>
              </w:rPr>
            </w:pPr>
          </w:p>
          <w:p>
            <w:pPr>
              <w:pStyle w:val="22"/>
              <w:ind w:firstLine="240" w:firstLineChars="100"/>
              <w:rPr>
                <w:rFonts w:ascii="仿宋_GB2312" w:hAnsi="黑体" w:eastAsia="仿宋_GB2312" w:cstheme="minorBidi"/>
                <w:sz w:val="24"/>
                <w:szCs w:val="24"/>
              </w:rPr>
            </w:pPr>
            <w:r>
              <w:rPr>
                <w:rFonts w:hint="eastAsia" w:ascii="仿宋_GB2312" w:hAnsi="黑体" w:eastAsia="仿宋_GB2312" w:cstheme="minorBidi"/>
                <w:sz w:val="24"/>
                <w:szCs w:val="24"/>
              </w:rPr>
              <w:t>2</w:t>
            </w:r>
          </w:p>
        </w:tc>
        <w:tc>
          <w:tcPr>
            <w:tcW w:w="2552" w:type="dxa"/>
            <w:vAlign w:val="center"/>
          </w:tcPr>
          <w:p>
            <w:pPr>
              <w:pStyle w:val="22"/>
              <w:ind w:left="-337" w:leftChars="-262" w:hanging="480" w:hangingChars="200"/>
              <w:rPr>
                <w:rFonts w:ascii="仿宋_GB2312" w:hAnsi="黑体" w:eastAsia="仿宋_GB2312" w:cstheme="minorBidi"/>
                <w:sz w:val="24"/>
                <w:szCs w:val="24"/>
              </w:rPr>
            </w:pPr>
            <w:r>
              <w:rPr>
                <w:rFonts w:hint="eastAsia" w:ascii="仿宋_GB2312" w:hAnsi="黑体" w:eastAsia="仿宋_GB2312" w:cstheme="minorBidi"/>
                <w:sz w:val="24"/>
                <w:szCs w:val="24"/>
              </w:rPr>
              <w:t>明确根据项目绩效目标指标体系检查资料缺失或不完善的，与委托方及项目相关单位充分沟通，补充完善相关资料</w:t>
            </w:r>
          </w:p>
        </w:tc>
        <w:tc>
          <w:tcPr>
            <w:tcW w:w="1134" w:type="dxa"/>
            <w:vAlign w:val="center"/>
          </w:tcPr>
          <w:p>
            <w:pPr>
              <w:pStyle w:val="22"/>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张辉</w:t>
            </w:r>
          </w:p>
          <w:p>
            <w:pPr>
              <w:pStyle w:val="22"/>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陈洪霞王玲</w:t>
            </w:r>
          </w:p>
          <w:p>
            <w:pPr>
              <w:pStyle w:val="22"/>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王晶</w:t>
            </w:r>
          </w:p>
        </w:tc>
        <w:tc>
          <w:tcPr>
            <w:tcW w:w="1275" w:type="dxa"/>
            <w:vAlign w:val="center"/>
          </w:tcPr>
          <w:p>
            <w:pPr>
              <w:pStyle w:val="22"/>
              <w:ind w:firstLine="0" w:firstLineChars="0"/>
              <w:jc w:val="left"/>
              <w:rPr>
                <w:rFonts w:ascii="仿宋_GB2312" w:hAnsi="黑体" w:eastAsia="仿宋_GB2312" w:cstheme="minorBidi"/>
                <w:sz w:val="24"/>
                <w:szCs w:val="24"/>
              </w:rPr>
            </w:pPr>
            <w:r>
              <w:rPr>
                <w:rFonts w:hint="eastAsia" w:ascii="仿宋_GB2312" w:hAnsi="黑体" w:eastAsia="仿宋_GB2312" w:cstheme="minorBidi"/>
                <w:sz w:val="24"/>
                <w:szCs w:val="24"/>
              </w:rPr>
              <w:t>注册会计师、会计师</w:t>
            </w:r>
          </w:p>
        </w:tc>
        <w:tc>
          <w:tcPr>
            <w:tcW w:w="885" w:type="dxa"/>
          </w:tcPr>
          <w:p>
            <w:pPr>
              <w:pStyle w:val="22"/>
              <w:ind w:firstLine="0" w:firstLineChars="0"/>
              <w:jc w:val="center"/>
              <w:rPr>
                <w:rFonts w:ascii="仿宋_GB2312" w:hAnsi="黑体" w:eastAsia="仿宋_GB2312" w:cstheme="minorBidi"/>
                <w:sz w:val="24"/>
                <w:szCs w:val="24"/>
              </w:rPr>
            </w:pPr>
          </w:p>
          <w:p>
            <w:pPr>
              <w:pStyle w:val="22"/>
              <w:ind w:firstLine="0" w:firstLineChars="0"/>
              <w:jc w:val="center"/>
              <w:rPr>
                <w:rFonts w:ascii="仿宋_GB2312" w:hAnsi="黑体" w:eastAsia="仿宋_GB2312" w:cstheme="minorBidi"/>
                <w:sz w:val="24"/>
                <w:szCs w:val="24"/>
              </w:rPr>
            </w:pPr>
          </w:p>
          <w:p>
            <w:pPr>
              <w:pStyle w:val="22"/>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2019年2月20日前</w:t>
            </w:r>
          </w:p>
        </w:tc>
        <w:tc>
          <w:tcPr>
            <w:tcW w:w="1809" w:type="dxa"/>
          </w:tcPr>
          <w:p>
            <w:pPr>
              <w:pStyle w:val="22"/>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从多个方面补充实物资料、口头资料、书面资料和分析性资料，尽可能做到资料全面为绩效评价提供可靠依据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0" w:hRule="atLeast"/>
          <w:jc w:val="right"/>
        </w:trPr>
        <w:tc>
          <w:tcPr>
            <w:tcW w:w="709" w:type="dxa"/>
          </w:tcPr>
          <w:p>
            <w:pPr>
              <w:pStyle w:val="22"/>
              <w:ind w:firstLine="0" w:firstLineChars="0"/>
              <w:jc w:val="center"/>
              <w:rPr>
                <w:rFonts w:ascii="仿宋_GB2312" w:hAnsi="黑体" w:eastAsia="仿宋_GB2312" w:cstheme="minorBidi"/>
                <w:sz w:val="24"/>
                <w:szCs w:val="24"/>
              </w:rPr>
            </w:pPr>
          </w:p>
          <w:p>
            <w:pPr>
              <w:pStyle w:val="22"/>
              <w:ind w:firstLine="0" w:firstLineChars="0"/>
              <w:jc w:val="center"/>
              <w:rPr>
                <w:rFonts w:ascii="仿宋_GB2312" w:hAnsi="黑体" w:eastAsia="仿宋_GB2312" w:cstheme="minorBidi"/>
                <w:sz w:val="24"/>
                <w:szCs w:val="24"/>
              </w:rPr>
            </w:pPr>
          </w:p>
          <w:p>
            <w:pPr>
              <w:pStyle w:val="22"/>
              <w:ind w:firstLine="0" w:firstLineChars="0"/>
              <w:jc w:val="center"/>
              <w:rPr>
                <w:rFonts w:ascii="仿宋_GB2312" w:hAnsi="黑体" w:eastAsia="仿宋_GB2312" w:cstheme="minorBidi"/>
                <w:sz w:val="24"/>
                <w:szCs w:val="24"/>
              </w:rPr>
            </w:pPr>
          </w:p>
          <w:p>
            <w:pPr>
              <w:pStyle w:val="22"/>
              <w:ind w:firstLine="240" w:firstLineChars="100"/>
              <w:rPr>
                <w:rFonts w:ascii="仿宋_GB2312" w:hAnsi="黑体" w:eastAsia="仿宋_GB2312" w:cstheme="minorBidi"/>
                <w:sz w:val="24"/>
                <w:szCs w:val="24"/>
              </w:rPr>
            </w:pPr>
            <w:r>
              <w:rPr>
                <w:rFonts w:hint="eastAsia" w:ascii="仿宋_GB2312" w:hAnsi="黑体" w:eastAsia="仿宋_GB2312" w:cstheme="minorBidi"/>
                <w:sz w:val="24"/>
                <w:szCs w:val="24"/>
              </w:rPr>
              <w:t>3</w:t>
            </w:r>
          </w:p>
        </w:tc>
        <w:tc>
          <w:tcPr>
            <w:tcW w:w="2552" w:type="dxa"/>
            <w:vAlign w:val="center"/>
          </w:tcPr>
          <w:p>
            <w:pPr>
              <w:pStyle w:val="22"/>
              <w:ind w:left="-106" w:leftChars="-34" w:firstLine="40" w:firstLineChars="17"/>
              <w:rPr>
                <w:rFonts w:ascii="仿宋_GB2312" w:hAnsi="黑体" w:eastAsia="仿宋_GB2312" w:cstheme="minorBidi"/>
                <w:sz w:val="24"/>
                <w:szCs w:val="24"/>
              </w:rPr>
            </w:pPr>
            <w:r>
              <w:rPr>
                <w:rFonts w:hint="eastAsia" w:ascii="仿宋_GB2312" w:hAnsi="黑体" w:eastAsia="仿宋_GB2312" w:cstheme="minorBidi"/>
                <w:sz w:val="24"/>
                <w:szCs w:val="24"/>
              </w:rPr>
              <w:t>按照确定好的现场和非现场评价范围采取勘查、巡查、复核等方式，对有关情况进行核实，对所掌握的有关资料进行分类、整理和分析，提出评价意见；编制社会调查问卷到相关范围内对相关人员展开调查并整理出具调查结果</w:t>
            </w:r>
          </w:p>
        </w:tc>
        <w:tc>
          <w:tcPr>
            <w:tcW w:w="1134" w:type="dxa"/>
            <w:vAlign w:val="center"/>
          </w:tcPr>
          <w:p>
            <w:pPr>
              <w:pStyle w:val="22"/>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张辉</w:t>
            </w:r>
          </w:p>
          <w:p>
            <w:pPr>
              <w:pStyle w:val="22"/>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陈洪霞王玲</w:t>
            </w:r>
          </w:p>
          <w:p>
            <w:pPr>
              <w:pStyle w:val="22"/>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王晶</w:t>
            </w:r>
          </w:p>
        </w:tc>
        <w:tc>
          <w:tcPr>
            <w:tcW w:w="1275" w:type="dxa"/>
            <w:vAlign w:val="center"/>
          </w:tcPr>
          <w:p>
            <w:pPr>
              <w:pStyle w:val="22"/>
              <w:ind w:firstLine="0" w:firstLineChars="0"/>
              <w:jc w:val="left"/>
              <w:rPr>
                <w:rFonts w:ascii="仿宋_GB2312" w:hAnsi="黑体" w:eastAsia="仿宋_GB2312" w:cstheme="minorBidi"/>
                <w:sz w:val="24"/>
                <w:szCs w:val="24"/>
              </w:rPr>
            </w:pPr>
            <w:r>
              <w:rPr>
                <w:rFonts w:hint="eastAsia" w:ascii="仿宋_GB2312" w:hAnsi="黑体" w:eastAsia="仿宋_GB2312" w:cstheme="minorBidi"/>
                <w:sz w:val="24"/>
                <w:szCs w:val="24"/>
              </w:rPr>
              <w:t>注册会计师、会计师</w:t>
            </w:r>
          </w:p>
        </w:tc>
        <w:tc>
          <w:tcPr>
            <w:tcW w:w="885" w:type="dxa"/>
          </w:tcPr>
          <w:p>
            <w:pPr>
              <w:pStyle w:val="22"/>
              <w:ind w:firstLine="0" w:firstLineChars="0"/>
              <w:jc w:val="center"/>
              <w:rPr>
                <w:rFonts w:ascii="仿宋_GB2312" w:hAnsi="黑体" w:eastAsia="仿宋_GB2312" w:cstheme="minorBidi"/>
                <w:sz w:val="24"/>
                <w:szCs w:val="24"/>
              </w:rPr>
            </w:pPr>
          </w:p>
          <w:p>
            <w:pPr>
              <w:pStyle w:val="22"/>
              <w:ind w:firstLine="0" w:firstLineChars="0"/>
              <w:jc w:val="center"/>
              <w:rPr>
                <w:rFonts w:ascii="仿宋_GB2312" w:hAnsi="黑体" w:eastAsia="仿宋_GB2312" w:cstheme="minorBidi"/>
                <w:sz w:val="24"/>
                <w:szCs w:val="24"/>
              </w:rPr>
            </w:pPr>
          </w:p>
          <w:p>
            <w:pPr>
              <w:pStyle w:val="22"/>
              <w:ind w:firstLine="0" w:firstLineChars="0"/>
              <w:jc w:val="center"/>
              <w:rPr>
                <w:rFonts w:ascii="仿宋_GB2312" w:hAnsi="黑体" w:eastAsia="仿宋_GB2312" w:cstheme="minorBidi"/>
                <w:sz w:val="24"/>
                <w:szCs w:val="24"/>
              </w:rPr>
            </w:pPr>
          </w:p>
          <w:p>
            <w:pPr>
              <w:pStyle w:val="22"/>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2019年2月28日前</w:t>
            </w:r>
          </w:p>
        </w:tc>
        <w:tc>
          <w:tcPr>
            <w:tcW w:w="1809" w:type="dxa"/>
          </w:tcPr>
          <w:p>
            <w:pPr>
              <w:pStyle w:val="22"/>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实地勘查现场比单纯的文字描述更有证明力，相关范围内问卷调查可以快速、便捷从大量人员获得群众评价信息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709" w:type="dxa"/>
          </w:tcPr>
          <w:p>
            <w:pPr>
              <w:pStyle w:val="22"/>
              <w:ind w:firstLine="240" w:firstLineChars="100"/>
              <w:jc w:val="center"/>
              <w:rPr>
                <w:rFonts w:ascii="仿宋_GB2312" w:hAnsi="黑体" w:eastAsia="仿宋_GB2312" w:cstheme="minorBidi"/>
                <w:sz w:val="24"/>
                <w:szCs w:val="24"/>
              </w:rPr>
            </w:pPr>
          </w:p>
          <w:p>
            <w:pPr>
              <w:pStyle w:val="22"/>
              <w:ind w:firstLine="240" w:firstLineChars="100"/>
              <w:rPr>
                <w:rFonts w:ascii="仿宋_GB2312" w:hAnsi="黑体" w:eastAsia="仿宋_GB2312" w:cstheme="minorBidi"/>
                <w:sz w:val="24"/>
                <w:szCs w:val="24"/>
              </w:rPr>
            </w:pPr>
            <w:r>
              <w:rPr>
                <w:rFonts w:hint="eastAsia" w:ascii="仿宋_GB2312" w:hAnsi="黑体" w:eastAsia="仿宋_GB2312" w:cstheme="minorBidi"/>
                <w:sz w:val="24"/>
                <w:szCs w:val="24"/>
              </w:rPr>
              <w:t>4</w:t>
            </w:r>
          </w:p>
        </w:tc>
        <w:tc>
          <w:tcPr>
            <w:tcW w:w="2552" w:type="dxa"/>
            <w:vAlign w:val="center"/>
          </w:tcPr>
          <w:p>
            <w:pPr>
              <w:pStyle w:val="22"/>
              <w:ind w:left="-106" w:leftChars="-34"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出具绩效评价初稿，征求项目主管部门的意见，根据反馈意见进一步修改完善后，报委托方审核并出具报告</w:t>
            </w:r>
          </w:p>
        </w:tc>
        <w:tc>
          <w:tcPr>
            <w:tcW w:w="1134" w:type="dxa"/>
            <w:vAlign w:val="center"/>
          </w:tcPr>
          <w:p>
            <w:pPr>
              <w:pStyle w:val="22"/>
              <w:ind w:firstLine="0" w:firstLineChars="0"/>
              <w:jc w:val="center"/>
              <w:rPr>
                <w:rFonts w:ascii="仿宋_GB2312" w:hAnsi="黑体" w:eastAsia="仿宋_GB2312" w:cstheme="minorBidi"/>
                <w:sz w:val="24"/>
                <w:szCs w:val="24"/>
              </w:rPr>
            </w:pPr>
            <w:r>
              <w:rPr>
                <w:rFonts w:hint="eastAsia" w:ascii="仿宋_GB2312" w:hAnsi="黑体" w:eastAsia="仿宋_GB2312" w:cstheme="minorBidi"/>
                <w:sz w:val="24"/>
                <w:szCs w:val="24"/>
              </w:rPr>
              <w:t>张辉</w:t>
            </w:r>
          </w:p>
          <w:p>
            <w:pPr>
              <w:pStyle w:val="22"/>
              <w:ind w:firstLine="0" w:firstLineChars="0"/>
              <w:jc w:val="center"/>
              <w:rPr>
                <w:rFonts w:ascii="仿宋_GB2312" w:hAnsi="黑体" w:eastAsia="仿宋_GB2312" w:cstheme="minorBidi"/>
                <w:sz w:val="24"/>
                <w:szCs w:val="24"/>
              </w:rPr>
            </w:pPr>
            <w:r>
              <w:rPr>
                <w:rFonts w:ascii="仿宋_GB2312" w:hAnsi="黑体" w:eastAsia="仿宋_GB2312" w:cstheme="minorBidi"/>
                <w:sz w:val="24"/>
                <w:szCs w:val="24"/>
              </w:rPr>
              <w:t>王绍山</w:t>
            </w:r>
          </w:p>
        </w:tc>
        <w:tc>
          <w:tcPr>
            <w:tcW w:w="1275" w:type="dxa"/>
            <w:vAlign w:val="center"/>
          </w:tcPr>
          <w:p>
            <w:pPr>
              <w:pStyle w:val="22"/>
              <w:ind w:firstLine="0" w:firstLineChars="0"/>
              <w:jc w:val="left"/>
              <w:rPr>
                <w:rFonts w:ascii="仿宋_GB2312" w:hAnsi="黑体" w:eastAsia="仿宋_GB2312" w:cstheme="minorBidi"/>
                <w:sz w:val="24"/>
                <w:szCs w:val="24"/>
              </w:rPr>
            </w:pPr>
            <w:r>
              <w:rPr>
                <w:rFonts w:hint="eastAsia" w:ascii="仿宋_GB2312" w:hAnsi="黑体" w:eastAsia="仿宋_GB2312" w:cstheme="minorBidi"/>
                <w:sz w:val="24"/>
                <w:szCs w:val="24"/>
              </w:rPr>
              <w:t>注册会计师、会计师</w:t>
            </w:r>
          </w:p>
        </w:tc>
        <w:tc>
          <w:tcPr>
            <w:tcW w:w="885" w:type="dxa"/>
            <w:vAlign w:val="center"/>
          </w:tcPr>
          <w:p>
            <w:pPr>
              <w:pStyle w:val="22"/>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2019年3月10日前</w:t>
            </w:r>
          </w:p>
        </w:tc>
        <w:tc>
          <w:tcPr>
            <w:tcW w:w="1809" w:type="dxa"/>
          </w:tcPr>
          <w:p>
            <w:pPr>
              <w:pStyle w:val="22"/>
              <w:ind w:firstLine="0" w:firstLineChars="0"/>
              <w:rPr>
                <w:rFonts w:ascii="仿宋_GB2312" w:hAnsi="黑体" w:eastAsia="仿宋_GB2312" w:cstheme="minorBidi"/>
                <w:sz w:val="24"/>
                <w:szCs w:val="24"/>
              </w:rPr>
            </w:pPr>
            <w:r>
              <w:rPr>
                <w:rFonts w:hint="eastAsia" w:ascii="仿宋_GB2312" w:hAnsi="黑体" w:eastAsia="仿宋_GB2312" w:cstheme="minorBidi"/>
                <w:sz w:val="24"/>
                <w:szCs w:val="24"/>
              </w:rPr>
              <w:t>根据收集完备的相关资料由经验丰富的评价人员出具初稿并提交审核</w:t>
            </w:r>
          </w:p>
        </w:tc>
      </w:tr>
    </w:tbl>
    <w:p>
      <w:pPr>
        <w:pStyle w:val="24"/>
        <w:spacing w:line="560" w:lineRule="exact"/>
        <w:ind w:firstLine="332" w:firstLineChars="100"/>
        <w:outlineLvl w:val="2"/>
        <w:rPr>
          <w:color w:val="000000" w:themeColor="text1"/>
        </w:rPr>
      </w:pPr>
      <w:r>
        <w:rPr>
          <w:rFonts w:hint="eastAsia"/>
          <w:color w:val="000000" w:themeColor="text1"/>
        </w:rPr>
        <w:t>（七）绩效评价工作过程</w:t>
      </w:r>
      <w:bookmarkEnd w:id="83"/>
      <w:bookmarkEnd w:id="84"/>
    </w:p>
    <w:p>
      <w:pPr>
        <w:pStyle w:val="28"/>
        <w:spacing w:line="560" w:lineRule="exact"/>
        <w:ind w:firstLine="664"/>
        <w:rPr>
          <w:rFonts w:ascii="仿宋_GB2312" w:hAnsi="仿宋"/>
          <w:sz w:val="32"/>
          <w:szCs w:val="32"/>
        </w:rPr>
      </w:pPr>
      <w:r>
        <w:rPr>
          <w:rFonts w:hint="eastAsia" w:ascii="仿宋_GB2312" w:hAnsi="仿宋"/>
          <w:sz w:val="32"/>
          <w:szCs w:val="32"/>
        </w:rPr>
        <w:t>1、评价准备阶段：2019年1月20日成立绩效评价工作组，由于绩效评价涉及具体的社会、经济调查，要求具有高水平的分析、判断能力，因此在人员配备方面我所充分考虑了相关人员需要具备足够的专业熟练程度和良好的工作能力，因此配备了注册会计师二名，会计师二名，辅助审计人员一名。评价队伍组建完成后积极与相关项目主管单位对接，收集整理绩效评价相关基础资料，按照要求编制支出项目绩效评价实施方案，2019年1月31日前报枣庄市中区财政局审核。</w:t>
      </w:r>
    </w:p>
    <w:p>
      <w:pPr>
        <w:pStyle w:val="16"/>
        <w:spacing w:before="0" w:beforeAutospacing="0" w:after="0" w:afterAutospacing="0" w:line="560" w:lineRule="exact"/>
        <w:ind w:firstLine="664" w:firstLineChars="200"/>
        <w:rPr>
          <w:rFonts w:ascii="仿宋_GB2312" w:hAnsi="仿宋" w:eastAsia="仿宋_GB2312" w:cs="Times New Roman"/>
          <w:spacing w:val="6"/>
          <w:kern w:val="2"/>
          <w:sz w:val="32"/>
          <w:szCs w:val="32"/>
        </w:rPr>
      </w:pPr>
      <w:r>
        <w:rPr>
          <w:rFonts w:hint="eastAsia" w:ascii="仿宋_GB2312" w:hAnsi="仿宋" w:eastAsia="仿宋_GB2312" w:cs="Times New Roman"/>
          <w:spacing w:val="6"/>
          <w:kern w:val="2"/>
          <w:sz w:val="32"/>
          <w:szCs w:val="32"/>
        </w:rPr>
        <w:t>2、绩效评价实施阶段：资料审核、拟定具体评价工作方案、实施绩效评价、完成绩效评价。</w:t>
      </w:r>
    </w:p>
    <w:p>
      <w:pPr>
        <w:pStyle w:val="28"/>
        <w:spacing w:line="560" w:lineRule="exact"/>
        <w:ind w:firstLine="664"/>
        <w:rPr>
          <w:rFonts w:ascii="仿宋_GB2312" w:hAnsi="仿宋"/>
          <w:sz w:val="32"/>
          <w:szCs w:val="32"/>
        </w:rPr>
      </w:pPr>
      <w:r>
        <w:rPr>
          <w:rFonts w:hint="eastAsia" w:ascii="仿宋_GB2312" w:hAnsi="仿宋"/>
          <w:sz w:val="32"/>
          <w:szCs w:val="32"/>
        </w:rPr>
        <w:t>2019年1月20日至2019年1月31日收集及整理项目相关资料，并对资料的合规性进行检查。</w:t>
      </w:r>
    </w:p>
    <w:p>
      <w:pPr>
        <w:pStyle w:val="28"/>
        <w:spacing w:line="560" w:lineRule="exact"/>
        <w:ind w:firstLine="664"/>
        <w:rPr>
          <w:rFonts w:ascii="仿宋_GB2312" w:hAnsi="仿宋"/>
          <w:sz w:val="32"/>
          <w:szCs w:val="32"/>
        </w:rPr>
      </w:pPr>
      <w:r>
        <w:rPr>
          <w:rFonts w:hint="eastAsia" w:ascii="仿宋_GB2312" w:hAnsi="仿宋"/>
          <w:sz w:val="32"/>
          <w:szCs w:val="32"/>
        </w:rPr>
        <w:t>2019年2月1至2019年2月20日对前期资料整理过程中出现的问题进行资料的补充及落实，尽可能做的项目资料完整全面，为绩效评价提供可靠的依据。</w:t>
      </w:r>
    </w:p>
    <w:p>
      <w:pPr>
        <w:pStyle w:val="28"/>
        <w:spacing w:line="560" w:lineRule="exact"/>
        <w:ind w:firstLine="664"/>
        <w:rPr>
          <w:rFonts w:ascii="仿宋_GB2312" w:hAnsi="仿宋"/>
          <w:sz w:val="32"/>
          <w:szCs w:val="32"/>
        </w:rPr>
      </w:pPr>
      <w:r>
        <w:rPr>
          <w:rFonts w:hint="eastAsia" w:ascii="仿宋_GB2312" w:hAnsi="仿宋"/>
          <w:sz w:val="32"/>
          <w:szCs w:val="32"/>
        </w:rPr>
        <w:t>2019年2月21日至2019年2月28日对项目进行实地观察及勘验，实地调查比单纯的文字描述更有证明力，对项目相关范围内进行问卷调查，该项调查可以快速、便捷从大量周边人员获得真实的群众评价信息。</w:t>
      </w:r>
    </w:p>
    <w:p>
      <w:pPr>
        <w:pStyle w:val="28"/>
        <w:spacing w:line="560" w:lineRule="exact"/>
        <w:ind w:firstLine="664"/>
        <w:rPr>
          <w:rFonts w:ascii="仿宋_GB2312" w:hAnsi="仿宋"/>
          <w:sz w:val="32"/>
          <w:szCs w:val="32"/>
        </w:rPr>
      </w:pPr>
      <w:r>
        <w:rPr>
          <w:rFonts w:hint="eastAsia" w:ascii="仿宋_GB2312" w:hAnsi="仿宋"/>
          <w:sz w:val="32"/>
          <w:szCs w:val="32"/>
        </w:rPr>
        <w:t>3、撰写和提交评价报告阶段：撰写报告、提交报告。</w:t>
      </w:r>
    </w:p>
    <w:p>
      <w:pPr>
        <w:pStyle w:val="28"/>
        <w:spacing w:line="560" w:lineRule="exact"/>
        <w:ind w:firstLine="664"/>
        <w:rPr>
          <w:rFonts w:ascii="仿宋_GB2312" w:hAnsi="仿宋"/>
          <w:sz w:val="32"/>
          <w:szCs w:val="32"/>
        </w:rPr>
      </w:pPr>
      <w:r>
        <w:rPr>
          <w:rFonts w:hint="eastAsia" w:ascii="仿宋_GB2312" w:hAnsi="仿宋"/>
          <w:sz w:val="32"/>
          <w:szCs w:val="32"/>
        </w:rPr>
        <w:t xml:space="preserve">2019年3月10日前在对所收集资料进行全面分析的基础上对绩效目标的投入、过程、产出和效果等做出具体分析和评价，按照数据真实准确、依据充分、分析透彻、结论准确的原则由经验丰富的评价人员出具有明确绩效目标、项目实施中存在的各项问题、以及对存在问题有针对性建议和意见的绩效评价初稿，并提交委托方对评价报告的真实性、合理性、完整性充分征询意见。           </w:t>
      </w:r>
    </w:p>
    <w:p>
      <w:pPr>
        <w:pStyle w:val="28"/>
        <w:spacing w:line="560" w:lineRule="exact"/>
        <w:ind w:firstLine="664"/>
        <w:rPr>
          <w:rFonts w:ascii="仿宋_GB2312" w:hAnsi="仿宋"/>
          <w:sz w:val="32"/>
          <w:szCs w:val="32"/>
        </w:rPr>
      </w:pPr>
      <w:r>
        <w:rPr>
          <w:rFonts w:hint="eastAsia" w:ascii="仿宋_GB2312" w:hAnsi="仿宋"/>
          <w:sz w:val="32"/>
          <w:szCs w:val="32"/>
        </w:rPr>
        <w:t>根据各方提出的书面合理意见对评价报告进行修改和完善后将绩效评价终稿提交委托方。</w:t>
      </w:r>
    </w:p>
    <w:p>
      <w:pPr>
        <w:pStyle w:val="28"/>
        <w:spacing w:line="580" w:lineRule="exact"/>
        <w:ind w:firstLine="664"/>
        <w:rPr>
          <w:rFonts w:ascii="黑体" w:hAnsi="黑体" w:eastAsia="黑体"/>
          <w:sz w:val="32"/>
          <w:szCs w:val="32"/>
        </w:rPr>
      </w:pPr>
      <w:r>
        <w:rPr>
          <w:rFonts w:hint="eastAsia" w:ascii="黑体" w:hAnsi="黑体" w:eastAsia="黑体"/>
          <w:sz w:val="32"/>
          <w:szCs w:val="32"/>
        </w:rPr>
        <w:t>三、评价结论及分析</w:t>
      </w:r>
      <w:bookmarkEnd w:id="78"/>
      <w:bookmarkEnd w:id="79"/>
      <w:bookmarkEnd w:id="80"/>
      <w:bookmarkEnd w:id="81"/>
      <w:bookmarkEnd w:id="82"/>
    </w:p>
    <w:tbl>
      <w:tblPr>
        <w:tblStyle w:val="45"/>
        <w:tblW w:w="8647"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5"/>
        <w:gridCol w:w="708"/>
        <w:gridCol w:w="2552"/>
        <w:gridCol w:w="2835"/>
        <w:gridCol w:w="709"/>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2" w:hRule="atLeast"/>
        </w:trPr>
        <w:tc>
          <w:tcPr>
            <w:tcW w:w="7230" w:type="dxa"/>
            <w:gridSpan w:val="4"/>
            <w:vAlign w:val="center"/>
          </w:tcPr>
          <w:p>
            <w:pPr>
              <w:spacing w:line="240" w:lineRule="auto"/>
              <w:jc w:val="center"/>
              <w:rPr>
                <w:rFonts w:eastAsia="宋体" w:cstheme="minorBidi"/>
                <w:sz w:val="18"/>
                <w:szCs w:val="18"/>
              </w:rPr>
            </w:pPr>
            <w:r>
              <w:rPr>
                <w:rFonts w:hint="eastAsia" w:eastAsia="宋体" w:cstheme="minorBidi"/>
                <w:sz w:val="18"/>
                <w:szCs w:val="18"/>
              </w:rPr>
              <w:t>评价指标</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指标分值</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评价得分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7" w:hRule="atLeast"/>
        </w:trPr>
        <w:tc>
          <w:tcPr>
            <w:tcW w:w="1135" w:type="dxa"/>
            <w:vAlign w:val="center"/>
          </w:tcPr>
          <w:p>
            <w:pPr>
              <w:spacing w:line="240" w:lineRule="auto"/>
              <w:jc w:val="center"/>
              <w:rPr>
                <w:rFonts w:eastAsia="宋体" w:cstheme="minorBidi"/>
                <w:sz w:val="18"/>
                <w:szCs w:val="18"/>
              </w:rPr>
            </w:pPr>
            <w:r>
              <w:rPr>
                <w:rFonts w:hint="eastAsia" w:eastAsia="宋体" w:cstheme="minorBidi"/>
                <w:sz w:val="18"/>
                <w:szCs w:val="18"/>
              </w:rPr>
              <w:t>一级</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二级</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三级</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四级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100</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7"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投入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 xml:space="preserve">立项 </w:t>
            </w:r>
          </w:p>
        </w:tc>
        <w:tc>
          <w:tcPr>
            <w:tcW w:w="2552"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项目实施依据</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实施依据的充分性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1"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主要目标</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目标的设定情况</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目标设立依据的充分性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目标与任务计划的相符性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1" w:hRule="atLeast"/>
        </w:trPr>
        <w:tc>
          <w:tcPr>
            <w:tcW w:w="1135" w:type="dxa"/>
            <w:vMerge w:val="continue"/>
            <w:vAlign w:val="center"/>
          </w:tcPr>
          <w:p>
            <w:pPr>
              <w:spacing w:line="240" w:lineRule="auto"/>
              <w:jc w:val="center"/>
              <w:rPr>
                <w:rFonts w:eastAsia="宋体" w:cstheme="minorBidi"/>
                <w:sz w:val="18"/>
                <w:szCs w:val="18"/>
              </w:rPr>
            </w:pP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资金</w:t>
            </w:r>
            <w:r>
              <w:rPr>
                <w:rFonts w:hint="eastAsia" w:eastAsia="宋体" w:cstheme="minorBidi"/>
                <w:sz w:val="18"/>
                <w:szCs w:val="18"/>
              </w:rPr>
              <w:br w:type="textWrapping"/>
            </w:r>
            <w:r>
              <w:rPr>
                <w:rFonts w:hint="eastAsia" w:eastAsia="宋体" w:cstheme="minorBidi"/>
                <w:sz w:val="18"/>
                <w:szCs w:val="18"/>
              </w:rPr>
              <w:t xml:space="preserve">落实    </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项目资金到位及时率</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区级财政资金到位及时性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8</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7"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  过程      </w:t>
            </w:r>
          </w:p>
          <w:p>
            <w:pPr>
              <w:spacing w:line="240" w:lineRule="auto"/>
              <w:jc w:val="center"/>
              <w:rPr>
                <w:rFonts w:eastAsia="宋体" w:cstheme="minorBidi"/>
                <w:sz w:val="18"/>
                <w:szCs w:val="18"/>
              </w:rPr>
            </w:pPr>
            <w:r>
              <w:rPr>
                <w:rFonts w:hint="eastAsia" w:eastAsia="宋体" w:cstheme="minorBidi"/>
                <w:sz w:val="18"/>
                <w:szCs w:val="18"/>
              </w:rPr>
              <w:t xml:space="preserve">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业务</w:t>
            </w:r>
            <w:r>
              <w:rPr>
                <w:rFonts w:hint="eastAsia" w:eastAsia="宋体" w:cstheme="minorBidi"/>
                <w:sz w:val="18"/>
                <w:szCs w:val="18"/>
              </w:rPr>
              <w:br w:type="textWrapping"/>
            </w:r>
            <w:r>
              <w:rPr>
                <w:rFonts w:hint="eastAsia" w:eastAsia="宋体" w:cstheme="minorBidi"/>
                <w:sz w:val="18"/>
                <w:szCs w:val="18"/>
              </w:rPr>
              <w:t xml:space="preserve">管理  </w:t>
            </w:r>
          </w:p>
        </w:tc>
        <w:tc>
          <w:tcPr>
            <w:tcW w:w="2552"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组织管理水平</w:t>
            </w:r>
          </w:p>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组织机构情况</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3"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管理制度保障</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管理机构办公条件的保障</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restart"/>
            <w:vAlign w:val="center"/>
          </w:tcPr>
          <w:p>
            <w:pPr>
              <w:spacing w:line="240" w:lineRule="auto"/>
              <w:jc w:val="center"/>
              <w:rPr>
                <w:rFonts w:eastAsia="宋体" w:cstheme="minorBidi"/>
                <w:sz w:val="18"/>
                <w:szCs w:val="18"/>
              </w:rPr>
            </w:pPr>
          </w:p>
          <w:p>
            <w:pPr>
              <w:spacing w:line="240" w:lineRule="auto"/>
              <w:jc w:val="center"/>
              <w:rPr>
                <w:rFonts w:eastAsia="宋体" w:cstheme="minorBidi"/>
                <w:sz w:val="18"/>
                <w:szCs w:val="18"/>
              </w:rPr>
            </w:pPr>
            <w:r>
              <w:rPr>
                <w:rFonts w:hint="eastAsia" w:eastAsia="宋体" w:cstheme="minorBidi"/>
                <w:sz w:val="18"/>
                <w:szCs w:val="18"/>
              </w:rPr>
              <w:t>项目质量可控性</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项目质量或标准健全</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1</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5"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项目实施控制情况</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项目完成质量管理水平</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财务</w:t>
            </w:r>
            <w:r>
              <w:rPr>
                <w:rFonts w:hint="eastAsia" w:eastAsia="宋体" w:cstheme="minorBidi"/>
                <w:sz w:val="18"/>
                <w:szCs w:val="18"/>
              </w:rPr>
              <w:br w:type="textWrapping"/>
            </w:r>
            <w:r>
              <w:rPr>
                <w:rFonts w:hint="eastAsia" w:eastAsia="宋体" w:cstheme="minorBidi"/>
                <w:sz w:val="18"/>
                <w:szCs w:val="18"/>
              </w:rPr>
              <w:t xml:space="preserve">管理  </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财务管理制度健全性</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资金管理制度的健全性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1"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restart"/>
            <w:vAlign w:val="center"/>
          </w:tcPr>
          <w:p>
            <w:pPr>
              <w:spacing w:line="240" w:lineRule="auto"/>
              <w:jc w:val="center"/>
              <w:rPr>
                <w:rFonts w:eastAsia="宋体" w:cstheme="minorBidi"/>
                <w:sz w:val="18"/>
                <w:szCs w:val="18"/>
              </w:rPr>
            </w:pPr>
          </w:p>
          <w:p>
            <w:pPr>
              <w:spacing w:line="240" w:lineRule="auto"/>
              <w:jc w:val="center"/>
              <w:rPr>
                <w:rFonts w:eastAsia="宋体" w:cstheme="minorBidi"/>
                <w:sz w:val="18"/>
                <w:szCs w:val="18"/>
              </w:rPr>
            </w:pPr>
            <w:r>
              <w:rPr>
                <w:rFonts w:hint="eastAsia" w:eastAsia="宋体" w:cstheme="minorBidi"/>
                <w:sz w:val="18"/>
                <w:szCs w:val="18"/>
              </w:rPr>
              <w:t>资金使用合规性及相符性</w:t>
            </w:r>
          </w:p>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资金使用的合规性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1"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资金拨付的合规性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3"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政府采购的合规性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9"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Merge w:val="continue"/>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项目支出与预算的相符性</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2"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产出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 xml:space="preserve">产出  </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项目完成情况</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预定目标是否实现</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4"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项目完成质量</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项目完成质量合格率</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完成及时性</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项目是否按时完成</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成本情况</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有无超过预算规定总金额</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5" w:hRule="atLeast"/>
        </w:trPr>
        <w:tc>
          <w:tcPr>
            <w:tcW w:w="1135"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 xml:space="preserve">效果      </w:t>
            </w:r>
          </w:p>
        </w:tc>
        <w:tc>
          <w:tcPr>
            <w:tcW w:w="708"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项目效益</w:t>
            </w: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经济效益</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是否带动库区群众就业及增加收入</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6</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生态效益</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是否改善水库水质</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6</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社会效益</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通过增殖方推动产生的社会效益</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6</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3"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可持续影响</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增殖放流后水质的持续改善</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6</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9" w:hRule="atLeast"/>
        </w:trPr>
        <w:tc>
          <w:tcPr>
            <w:tcW w:w="1135" w:type="dxa"/>
            <w:vMerge w:val="continue"/>
            <w:vAlign w:val="center"/>
          </w:tcPr>
          <w:p>
            <w:pPr>
              <w:spacing w:line="240" w:lineRule="auto"/>
              <w:jc w:val="center"/>
              <w:rPr>
                <w:rFonts w:eastAsia="宋体" w:cstheme="minorBidi"/>
                <w:sz w:val="18"/>
                <w:szCs w:val="18"/>
              </w:rPr>
            </w:pPr>
          </w:p>
        </w:tc>
        <w:tc>
          <w:tcPr>
            <w:tcW w:w="708" w:type="dxa"/>
            <w:vMerge w:val="continue"/>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r>
              <w:rPr>
                <w:rFonts w:hint="eastAsia" w:eastAsia="宋体" w:cstheme="minorBidi"/>
                <w:sz w:val="18"/>
                <w:szCs w:val="18"/>
              </w:rPr>
              <w:t>社会公众或服务对象满意度</w:t>
            </w:r>
          </w:p>
        </w:tc>
        <w:tc>
          <w:tcPr>
            <w:tcW w:w="2835" w:type="dxa"/>
            <w:vAlign w:val="center"/>
          </w:tcPr>
          <w:p>
            <w:pPr>
              <w:spacing w:line="240" w:lineRule="auto"/>
              <w:jc w:val="center"/>
              <w:rPr>
                <w:rFonts w:eastAsia="宋体" w:cstheme="minorBidi"/>
                <w:sz w:val="18"/>
                <w:szCs w:val="18"/>
              </w:rPr>
            </w:pPr>
            <w:r>
              <w:rPr>
                <w:rFonts w:hint="eastAsia" w:eastAsia="宋体" w:cstheme="minorBidi"/>
                <w:sz w:val="18"/>
                <w:szCs w:val="18"/>
              </w:rPr>
              <w:t>问卷满意度</w:t>
            </w:r>
          </w:p>
        </w:tc>
        <w:tc>
          <w:tcPr>
            <w:tcW w:w="709" w:type="dxa"/>
            <w:vAlign w:val="center"/>
          </w:tcPr>
          <w:p>
            <w:pPr>
              <w:spacing w:line="240" w:lineRule="auto"/>
              <w:jc w:val="center"/>
              <w:rPr>
                <w:rFonts w:eastAsia="宋体" w:cstheme="minorBidi"/>
                <w:sz w:val="18"/>
                <w:szCs w:val="18"/>
              </w:rPr>
            </w:pPr>
            <w:r>
              <w:rPr>
                <w:rFonts w:hint="eastAsia" w:eastAsia="宋体" w:cstheme="minorBidi"/>
                <w:sz w:val="18"/>
                <w:szCs w:val="18"/>
              </w:rPr>
              <w:t>6</w:t>
            </w: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4" w:hRule="atLeast"/>
        </w:trPr>
        <w:tc>
          <w:tcPr>
            <w:tcW w:w="1135" w:type="dxa"/>
            <w:vAlign w:val="center"/>
          </w:tcPr>
          <w:p>
            <w:pPr>
              <w:spacing w:line="240" w:lineRule="auto"/>
              <w:jc w:val="center"/>
              <w:rPr>
                <w:rFonts w:eastAsia="宋体" w:cstheme="minorBidi"/>
                <w:sz w:val="18"/>
                <w:szCs w:val="18"/>
              </w:rPr>
            </w:pPr>
            <w:r>
              <w:rPr>
                <w:rFonts w:hint="eastAsia" w:eastAsia="宋体" w:cstheme="minorBidi"/>
                <w:sz w:val="18"/>
                <w:szCs w:val="18"/>
              </w:rPr>
              <w:t>综合得分</w:t>
            </w:r>
          </w:p>
        </w:tc>
        <w:tc>
          <w:tcPr>
            <w:tcW w:w="708" w:type="dxa"/>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p>
        </w:tc>
        <w:tc>
          <w:tcPr>
            <w:tcW w:w="709" w:type="dxa"/>
            <w:vAlign w:val="center"/>
          </w:tcPr>
          <w:p>
            <w:pPr>
              <w:spacing w:line="240" w:lineRule="auto"/>
              <w:jc w:val="center"/>
              <w:rPr>
                <w:rFonts w:eastAsia="宋体" w:cstheme="minorBidi"/>
                <w:sz w:val="18"/>
                <w:szCs w:val="18"/>
              </w:rPr>
            </w:pP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7" w:hRule="atLeast"/>
        </w:trPr>
        <w:tc>
          <w:tcPr>
            <w:tcW w:w="1135" w:type="dxa"/>
            <w:vAlign w:val="center"/>
          </w:tcPr>
          <w:p>
            <w:pPr>
              <w:spacing w:line="240" w:lineRule="auto"/>
              <w:jc w:val="center"/>
              <w:rPr>
                <w:rFonts w:eastAsia="宋体" w:cstheme="minorBidi"/>
                <w:sz w:val="18"/>
                <w:szCs w:val="18"/>
              </w:rPr>
            </w:pPr>
            <w:r>
              <w:rPr>
                <w:rFonts w:hint="eastAsia" w:eastAsia="宋体" w:cstheme="minorBidi"/>
                <w:sz w:val="18"/>
                <w:szCs w:val="18"/>
              </w:rPr>
              <w:t>评价等次</w:t>
            </w:r>
          </w:p>
        </w:tc>
        <w:tc>
          <w:tcPr>
            <w:tcW w:w="708" w:type="dxa"/>
            <w:vAlign w:val="center"/>
          </w:tcPr>
          <w:p>
            <w:pPr>
              <w:spacing w:line="240" w:lineRule="auto"/>
              <w:jc w:val="center"/>
              <w:rPr>
                <w:rFonts w:eastAsia="宋体" w:cstheme="minorBidi"/>
                <w:sz w:val="18"/>
                <w:szCs w:val="18"/>
              </w:rPr>
            </w:pPr>
          </w:p>
        </w:tc>
        <w:tc>
          <w:tcPr>
            <w:tcW w:w="2552" w:type="dxa"/>
            <w:vAlign w:val="center"/>
          </w:tcPr>
          <w:p>
            <w:pPr>
              <w:spacing w:line="240" w:lineRule="auto"/>
              <w:jc w:val="center"/>
              <w:rPr>
                <w:rFonts w:eastAsia="宋体" w:cstheme="minorBidi"/>
                <w:sz w:val="18"/>
                <w:szCs w:val="18"/>
              </w:rPr>
            </w:pPr>
          </w:p>
        </w:tc>
        <w:tc>
          <w:tcPr>
            <w:tcW w:w="2835" w:type="dxa"/>
            <w:vAlign w:val="center"/>
          </w:tcPr>
          <w:p>
            <w:pPr>
              <w:spacing w:line="240" w:lineRule="auto"/>
              <w:jc w:val="center"/>
              <w:rPr>
                <w:rFonts w:eastAsia="宋体" w:cstheme="minorBidi"/>
                <w:sz w:val="18"/>
                <w:szCs w:val="18"/>
              </w:rPr>
            </w:pPr>
          </w:p>
        </w:tc>
        <w:tc>
          <w:tcPr>
            <w:tcW w:w="709" w:type="dxa"/>
            <w:vAlign w:val="center"/>
          </w:tcPr>
          <w:p>
            <w:pPr>
              <w:spacing w:line="240" w:lineRule="auto"/>
              <w:jc w:val="center"/>
              <w:rPr>
                <w:rFonts w:eastAsia="宋体" w:cstheme="minorBidi"/>
                <w:sz w:val="18"/>
                <w:szCs w:val="18"/>
              </w:rPr>
            </w:pPr>
          </w:p>
        </w:tc>
        <w:tc>
          <w:tcPr>
            <w:tcW w:w="708" w:type="dxa"/>
            <w:vAlign w:val="center"/>
          </w:tcPr>
          <w:p>
            <w:pPr>
              <w:spacing w:line="240" w:lineRule="auto"/>
              <w:jc w:val="center"/>
              <w:rPr>
                <w:rFonts w:eastAsia="宋体" w:cstheme="minorBidi"/>
                <w:sz w:val="18"/>
                <w:szCs w:val="18"/>
              </w:rPr>
            </w:pPr>
            <w:r>
              <w:rPr>
                <w:rFonts w:hint="eastAsia" w:eastAsia="宋体" w:cstheme="minorBidi"/>
                <w:sz w:val="18"/>
                <w:szCs w:val="18"/>
              </w:rPr>
              <w:t>良好</w:t>
            </w:r>
          </w:p>
        </w:tc>
      </w:tr>
    </w:tbl>
    <w:p>
      <w:pPr>
        <w:pStyle w:val="24"/>
        <w:ind w:firstLine="664"/>
        <w:outlineLvl w:val="2"/>
        <w:rPr>
          <w:szCs w:val="32"/>
        </w:rPr>
      </w:pPr>
      <w:bookmarkStart w:id="85" w:name="_Toc491438414"/>
      <w:bookmarkStart w:id="86" w:name="_Toc489949657"/>
      <w:r>
        <w:rPr>
          <w:rFonts w:hint="eastAsia"/>
        </w:rPr>
        <w:t>（一）非现场评价情况分析</w:t>
      </w:r>
      <w:bookmarkEnd w:id="85"/>
      <w:bookmarkEnd w:id="86"/>
    </w:p>
    <w:p>
      <w:pPr>
        <w:pStyle w:val="28"/>
        <w:numPr>
          <w:ilvl w:val="0"/>
          <w:numId w:val="2"/>
        </w:numPr>
        <w:spacing w:line="580" w:lineRule="exact"/>
        <w:ind w:left="1276" w:hanging="566" w:firstLineChars="0"/>
        <w:rPr>
          <w:rFonts w:ascii="仿宋_GB2312" w:hAnsi="仿宋"/>
          <w:sz w:val="32"/>
          <w:szCs w:val="32"/>
        </w:rPr>
      </w:pPr>
      <w:r>
        <w:rPr>
          <w:rFonts w:hint="eastAsia" w:ascii="仿宋_GB2312" w:hAnsi="仿宋"/>
          <w:sz w:val="32"/>
          <w:szCs w:val="32"/>
        </w:rPr>
        <w:t>投入类评价指标得分情况</w:t>
      </w:r>
    </w:p>
    <w:p>
      <w:pPr>
        <w:pStyle w:val="28"/>
        <w:spacing w:line="580" w:lineRule="exact"/>
        <w:ind w:firstLine="664"/>
        <w:rPr>
          <w:rFonts w:ascii="仿宋_GB2312" w:hAnsi="仿宋"/>
          <w:sz w:val="32"/>
          <w:szCs w:val="32"/>
        </w:rPr>
      </w:pPr>
      <w:r>
        <w:rPr>
          <w:rFonts w:hint="eastAsia" w:ascii="仿宋_GB2312" w:hAnsi="仿宋"/>
          <w:sz w:val="32"/>
          <w:szCs w:val="32"/>
        </w:rPr>
        <w:t>投入类共计20分，其中分为项目立项12分及资金落实8分，评价后得分共计20分，项目立项得分12分，资金落实得分8分。</w:t>
      </w:r>
    </w:p>
    <w:p>
      <w:pPr>
        <w:pStyle w:val="28"/>
        <w:numPr>
          <w:ilvl w:val="0"/>
          <w:numId w:val="2"/>
        </w:numPr>
        <w:spacing w:line="580" w:lineRule="exact"/>
        <w:ind w:left="1276" w:hanging="566" w:firstLineChars="0"/>
        <w:rPr>
          <w:rFonts w:ascii="仿宋_GB2312" w:hAnsi="仿宋"/>
          <w:sz w:val="32"/>
          <w:szCs w:val="32"/>
        </w:rPr>
      </w:pPr>
      <w:r>
        <w:rPr>
          <w:rFonts w:hint="eastAsia" w:ascii="仿宋_GB2312" w:hAnsi="仿宋"/>
          <w:sz w:val="32"/>
          <w:szCs w:val="32"/>
        </w:rPr>
        <w:t>过程类评价指标得分情况</w:t>
      </w:r>
    </w:p>
    <w:p>
      <w:pPr>
        <w:pStyle w:val="28"/>
        <w:spacing w:line="580" w:lineRule="exact"/>
        <w:ind w:firstLine="664"/>
        <w:rPr>
          <w:rFonts w:ascii="仿宋_GB2312" w:hAnsi="仿宋"/>
          <w:sz w:val="32"/>
          <w:szCs w:val="32"/>
        </w:rPr>
      </w:pPr>
      <w:r>
        <w:rPr>
          <w:rFonts w:hint="eastAsia" w:ascii="仿宋_GB2312" w:hAnsi="仿宋"/>
          <w:sz w:val="32"/>
          <w:szCs w:val="32"/>
        </w:rPr>
        <w:t>过程类共计30分，其中分为业务管理15分及财务管理15分，评价后得分23分，业务管理得分11分，扣分4分，财务管理得分12分，扣分3分。</w:t>
      </w:r>
    </w:p>
    <w:p>
      <w:pPr>
        <w:pStyle w:val="28"/>
        <w:numPr>
          <w:ilvl w:val="0"/>
          <w:numId w:val="2"/>
        </w:numPr>
        <w:spacing w:line="580" w:lineRule="exact"/>
        <w:ind w:left="1276" w:hanging="566" w:firstLineChars="0"/>
        <w:rPr>
          <w:rFonts w:ascii="仿宋_GB2312" w:hAnsi="仿宋"/>
          <w:sz w:val="32"/>
          <w:szCs w:val="32"/>
        </w:rPr>
      </w:pPr>
      <w:r>
        <w:rPr>
          <w:rFonts w:hint="eastAsia" w:ascii="仿宋_GB2312" w:hAnsi="仿宋"/>
          <w:sz w:val="32"/>
          <w:szCs w:val="32"/>
        </w:rPr>
        <w:t>产出类评价指标得分情况</w:t>
      </w:r>
    </w:p>
    <w:p>
      <w:pPr>
        <w:pStyle w:val="28"/>
        <w:spacing w:line="580" w:lineRule="exact"/>
        <w:ind w:firstLine="664"/>
        <w:rPr>
          <w:rFonts w:ascii="仿宋_GB2312" w:hAnsi="仿宋"/>
          <w:sz w:val="32"/>
          <w:szCs w:val="32"/>
        </w:rPr>
      </w:pPr>
      <w:r>
        <w:rPr>
          <w:rFonts w:hint="eastAsia" w:ascii="仿宋_GB2312" w:hAnsi="仿宋"/>
          <w:sz w:val="32"/>
          <w:szCs w:val="32"/>
        </w:rPr>
        <w:t>产出类共计20分，为项目产出，评价后得分18分，扣分2分。</w:t>
      </w:r>
    </w:p>
    <w:p>
      <w:pPr>
        <w:pStyle w:val="28"/>
        <w:numPr>
          <w:ilvl w:val="0"/>
          <w:numId w:val="2"/>
        </w:numPr>
        <w:spacing w:line="580" w:lineRule="exact"/>
        <w:ind w:left="1276" w:hanging="567" w:firstLineChars="0"/>
        <w:rPr>
          <w:rFonts w:ascii="仿宋_GB2312" w:hAnsi="仿宋"/>
          <w:sz w:val="32"/>
          <w:szCs w:val="32"/>
        </w:rPr>
      </w:pPr>
      <w:r>
        <w:rPr>
          <w:rFonts w:hint="eastAsia" w:ascii="仿宋_GB2312" w:hAnsi="仿宋"/>
          <w:sz w:val="32"/>
          <w:szCs w:val="32"/>
        </w:rPr>
        <w:t>效果类评价指标得分情况</w:t>
      </w:r>
    </w:p>
    <w:p>
      <w:pPr>
        <w:pStyle w:val="28"/>
        <w:spacing w:line="580" w:lineRule="exact"/>
        <w:ind w:firstLineChars="0"/>
        <w:rPr>
          <w:rFonts w:ascii="仿宋_GB2312" w:hAnsi="仿宋"/>
          <w:sz w:val="32"/>
          <w:szCs w:val="32"/>
        </w:rPr>
      </w:pPr>
      <w:r>
        <w:rPr>
          <w:rFonts w:hint="eastAsia" w:ascii="仿宋_GB2312" w:hAnsi="仿宋"/>
          <w:sz w:val="32"/>
          <w:szCs w:val="32"/>
        </w:rPr>
        <w:t>效果类共计30分，为项目效益，评价后得分24.9分，扣分5.1分。</w:t>
      </w:r>
    </w:p>
    <w:p>
      <w:pPr>
        <w:pStyle w:val="24"/>
        <w:ind w:firstLine="664"/>
        <w:outlineLvl w:val="2"/>
      </w:pPr>
      <w:bookmarkStart w:id="87" w:name="_Toc489949658"/>
      <w:bookmarkStart w:id="88" w:name="_Toc491438415"/>
      <w:r>
        <w:rPr>
          <w:rFonts w:hint="eastAsia"/>
        </w:rPr>
        <w:t>（二）现场评价情况分析</w:t>
      </w:r>
      <w:bookmarkEnd w:id="87"/>
      <w:bookmarkEnd w:id="88"/>
    </w:p>
    <w:p>
      <w:pPr>
        <w:pStyle w:val="28"/>
        <w:spacing w:line="580" w:lineRule="exact"/>
        <w:ind w:left="-3" w:leftChars="-1" w:firstLine="710" w:firstLineChars="214"/>
        <w:rPr>
          <w:rFonts w:ascii="仿宋_GB2312" w:hAnsi="仿宋"/>
          <w:sz w:val="32"/>
          <w:szCs w:val="32"/>
        </w:rPr>
      </w:pPr>
      <w:r>
        <w:rPr>
          <w:rFonts w:hint="eastAsia" w:ascii="仿宋_GB2312" w:hAnsi="仿宋"/>
          <w:sz w:val="32"/>
          <w:szCs w:val="32"/>
        </w:rPr>
        <w:t>项目效果的现场评价包含增殖流放项目资料的完整性、合规性，资金拨付的合规性、及时性，水库周边群众及城区内供水群众满意度评价通过电话调查问卷的形式进行评价，共计发放调查问卷50份，对项目实施情况进行了调查，调查发现该补贴项目实施后被库区群众对效果满意满意度为82.4%，问卷调查得分82.4分。</w:t>
      </w:r>
    </w:p>
    <w:p>
      <w:pPr>
        <w:pStyle w:val="24"/>
        <w:ind w:firstLine="664"/>
        <w:outlineLvl w:val="2"/>
      </w:pPr>
      <w:bookmarkStart w:id="89" w:name="_Toc489949659"/>
      <w:bookmarkStart w:id="90" w:name="_Toc491438416"/>
      <w:r>
        <w:rPr>
          <w:rFonts w:hint="eastAsia"/>
        </w:rPr>
        <w:t>（三）综合评价结论及分析</w:t>
      </w:r>
      <w:bookmarkEnd w:id="89"/>
      <w:bookmarkEnd w:id="90"/>
    </w:p>
    <w:p>
      <w:pPr>
        <w:pStyle w:val="24"/>
        <w:ind w:firstLine="664"/>
        <w:rPr>
          <w:rFonts w:ascii="仿宋_GB2312" w:hAnsi="仿宋" w:eastAsia="仿宋_GB2312" w:cs="Times New Roman"/>
          <w:szCs w:val="32"/>
        </w:rPr>
      </w:pPr>
      <w:bookmarkStart w:id="91" w:name="_Toc489949660"/>
      <w:r>
        <w:rPr>
          <w:rFonts w:hint="eastAsia" w:ascii="仿宋_GB2312" w:hAnsi="仿宋" w:eastAsia="仿宋_GB2312" w:cs="Times New Roman"/>
          <w:szCs w:val="32"/>
        </w:rPr>
        <w:t>经过绩效评价小组认真分析总结，该项目实施的成绩综合得分分，主要得分指标体现在：</w:t>
      </w:r>
      <w:bookmarkEnd w:id="91"/>
    </w:p>
    <w:p>
      <w:pPr>
        <w:pStyle w:val="24"/>
        <w:tabs>
          <w:tab w:val="left" w:pos="1276"/>
        </w:tabs>
        <w:ind w:firstLine="693" w:firstLineChars="209"/>
        <w:rPr>
          <w:rFonts w:ascii="仿宋_GB2312" w:hAnsi="仿宋" w:eastAsia="仿宋_GB2312" w:cs="Times New Roman"/>
          <w:szCs w:val="32"/>
        </w:rPr>
      </w:pPr>
      <w:bookmarkStart w:id="92" w:name="_Toc489949661"/>
      <w:r>
        <w:rPr>
          <w:rFonts w:hint="eastAsia" w:ascii="仿宋_GB2312" w:hAnsi="仿宋" w:eastAsia="仿宋_GB2312" w:cs="Times New Roman"/>
          <w:szCs w:val="32"/>
        </w:rPr>
        <w:t>1、在项目实施依据与资金落实情况上，项目总体实施依据符合政策，目标明确，区级资金及时到位，保证了项目的正常开展。</w:t>
      </w:r>
      <w:bookmarkEnd w:id="92"/>
    </w:p>
    <w:p>
      <w:pPr>
        <w:pStyle w:val="24"/>
        <w:tabs>
          <w:tab w:val="left" w:pos="1276"/>
        </w:tabs>
        <w:ind w:firstLine="664"/>
        <w:rPr>
          <w:rFonts w:ascii="仿宋_GB2312" w:hAnsi="仿宋" w:eastAsia="仿宋_GB2312" w:cs="Times New Roman"/>
          <w:szCs w:val="32"/>
        </w:rPr>
      </w:pPr>
      <w:bookmarkStart w:id="93" w:name="_Toc489949662"/>
      <w:r>
        <w:rPr>
          <w:rFonts w:hint="eastAsia" w:ascii="仿宋_GB2312" w:hAnsi="仿宋" w:eastAsia="仿宋_GB2312" w:cs="Times New Roman"/>
          <w:szCs w:val="32"/>
        </w:rPr>
        <w:t>2、在业务管理与财务管理上，管理机构健全、拨付手续基本齐全、财务管理制度健全。</w:t>
      </w:r>
      <w:bookmarkEnd w:id="93"/>
    </w:p>
    <w:p>
      <w:pPr>
        <w:pStyle w:val="24"/>
        <w:tabs>
          <w:tab w:val="left" w:pos="1276"/>
        </w:tabs>
        <w:ind w:firstLine="664"/>
        <w:rPr>
          <w:rFonts w:ascii="仿宋_GB2312" w:hAnsi="仿宋" w:eastAsia="仿宋_GB2312" w:cs="Times New Roman"/>
          <w:color w:val="000000" w:themeColor="text1"/>
          <w:szCs w:val="32"/>
        </w:rPr>
      </w:pPr>
      <w:bookmarkStart w:id="94" w:name="_Toc489949663"/>
      <w:r>
        <w:rPr>
          <w:rFonts w:hint="eastAsia" w:ascii="仿宋_GB2312" w:hAnsi="仿宋" w:eastAsia="仿宋_GB2312" w:cs="Times New Roman"/>
          <w:color w:val="000000" w:themeColor="text1"/>
          <w:szCs w:val="32"/>
        </w:rPr>
        <w:t>3、在项目产出上，</w:t>
      </w:r>
      <w:bookmarkEnd w:id="94"/>
      <w:bookmarkStart w:id="95" w:name="_Toc489949664"/>
      <w:r>
        <w:rPr>
          <w:rFonts w:hint="eastAsia" w:ascii="仿宋_GB2312" w:hAnsi="仿宋" w:eastAsia="仿宋_GB2312" w:cs="Times New Roman"/>
          <w:color w:val="000000" w:themeColor="text1"/>
          <w:szCs w:val="32"/>
        </w:rPr>
        <w:t>利用中央专项资金</w:t>
      </w:r>
      <w:r>
        <w:rPr>
          <w:rFonts w:ascii="仿宋_GB2312" w:hAnsi="仿宋" w:eastAsia="仿宋_GB2312" w:cs="Times New Roman"/>
          <w:color w:val="000000" w:themeColor="text1"/>
          <w:szCs w:val="32"/>
        </w:rPr>
        <w:t>20万元购买了规格100mm，数量30770斤鲢鳙鱼在周村水库进行增殖放流，完成了该项放流任务。</w:t>
      </w:r>
    </w:p>
    <w:p>
      <w:pPr>
        <w:pStyle w:val="24"/>
        <w:tabs>
          <w:tab w:val="left" w:pos="1276"/>
        </w:tabs>
        <w:ind w:firstLine="664"/>
        <w:rPr>
          <w:rFonts w:ascii="仿宋_GB2312" w:hAnsi="仿宋" w:eastAsia="仿宋_GB2312" w:cs="Times New Roman"/>
          <w:szCs w:val="32"/>
        </w:rPr>
      </w:pPr>
      <w:r>
        <w:rPr>
          <w:rFonts w:hint="eastAsia" w:ascii="仿宋_GB2312" w:hAnsi="仿宋"/>
          <w:szCs w:val="32"/>
        </w:rPr>
        <w:t>4、</w:t>
      </w:r>
      <w:r>
        <w:rPr>
          <w:rFonts w:hint="eastAsia" w:ascii="仿宋_GB2312" w:hAnsi="仿宋" w:eastAsia="仿宋_GB2312" w:cs="Times New Roman"/>
          <w:szCs w:val="32"/>
        </w:rPr>
        <w:t>在项目效果上，主要表现在增殖放流项目完成后，改善库区水质，使水体透明度增加，藻类数量减少，</w:t>
      </w:r>
      <w:r>
        <w:rPr>
          <w:rFonts w:hint="eastAsia" w:ascii="仿宋_GB2312" w:hAnsi="黑体" w:eastAsia="仿宋_GB2312" w:cs="Times New Roman"/>
          <w:spacing w:val="0"/>
          <w:szCs w:val="32"/>
        </w:rPr>
        <w:t>水质逐步达到国家二类水质标准，</w:t>
      </w:r>
      <w:r>
        <w:rPr>
          <w:rFonts w:hint="eastAsia" w:ascii="仿宋_GB2312" w:hAnsi="仿宋" w:eastAsia="仿宋_GB2312" w:cs="Times New Roman"/>
          <w:szCs w:val="32"/>
        </w:rPr>
        <w:t>带动库区群众就业，增加收入，提高城市供水群众对饮用水的满意度及库区群众对就业收入的满意度。</w:t>
      </w:r>
      <w:bookmarkEnd w:id="95"/>
    </w:p>
    <w:p>
      <w:pPr>
        <w:pStyle w:val="36"/>
        <w:shd w:val="clear" w:color="auto" w:fill="FFFFFF"/>
        <w:spacing w:before="0" w:beforeAutospacing="0" w:after="0" w:afterAutospacing="0" w:line="580" w:lineRule="exact"/>
        <w:ind w:firstLine="640" w:firstLineChars="200"/>
        <w:jc w:val="both"/>
        <w:rPr>
          <w:rFonts w:ascii="仿宋_GB2312" w:hAnsi="黑体" w:eastAsia="仿宋_GB2312" w:cs="Times New Roman"/>
          <w:kern w:val="2"/>
          <w:sz w:val="32"/>
          <w:szCs w:val="32"/>
        </w:rPr>
      </w:pPr>
      <w:bookmarkStart w:id="96" w:name="_Toc489949665"/>
      <w:r>
        <w:rPr>
          <w:rFonts w:hint="eastAsia" w:ascii="仿宋_GB2312" w:hAnsi="黑体" w:eastAsia="仿宋_GB2312" w:cs="Times New Roman"/>
          <w:kern w:val="2"/>
          <w:sz w:val="32"/>
          <w:szCs w:val="32"/>
        </w:rPr>
        <w:t>项目扣分主要指标体现：该项目评价扣分14.1分，过程指标扣分7分，产出指标扣分2分，效益指标扣分5.1分。</w:t>
      </w:r>
    </w:p>
    <w:p>
      <w:pPr>
        <w:pStyle w:val="36"/>
        <w:shd w:val="clear" w:color="auto" w:fill="FFFFFF"/>
        <w:tabs>
          <w:tab w:val="left" w:pos="1134"/>
        </w:tabs>
        <w:spacing w:before="0" w:beforeAutospacing="0" w:after="0" w:afterAutospacing="0" w:line="580" w:lineRule="exact"/>
        <w:ind w:left="567"/>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扣分项明细如下：</w:t>
      </w:r>
    </w:p>
    <w:p>
      <w:pPr>
        <w:pStyle w:val="36"/>
        <w:numPr>
          <w:ilvl w:val="0"/>
          <w:numId w:val="3"/>
        </w:numPr>
        <w:shd w:val="clear" w:color="auto" w:fill="FFFFFF"/>
        <w:tabs>
          <w:tab w:val="left" w:pos="1134"/>
        </w:tabs>
        <w:spacing w:before="0" w:beforeAutospacing="0" w:after="0" w:afterAutospacing="0" w:line="580" w:lineRule="exact"/>
        <w:ind w:left="0" w:firstLine="709"/>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过程指标中业务管理扣4分，财务管理扣3分，扣分原因项目管理制度及资金管理制度不健全，未制定该专项资金管理制度。</w:t>
      </w:r>
    </w:p>
    <w:p>
      <w:pPr>
        <w:pStyle w:val="36"/>
        <w:numPr>
          <w:ilvl w:val="0"/>
          <w:numId w:val="3"/>
        </w:numPr>
        <w:shd w:val="clear" w:color="auto" w:fill="FFFFFF"/>
        <w:tabs>
          <w:tab w:val="left" w:pos="1134"/>
        </w:tabs>
        <w:spacing w:before="0" w:beforeAutospacing="0" w:after="0" w:afterAutospacing="0" w:line="580" w:lineRule="exact"/>
        <w:ind w:left="0" w:firstLine="709"/>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产出指标中项目产出扣2分，扣分原因项目项目实施后渔业生产能力不及预期。</w:t>
      </w:r>
    </w:p>
    <w:p>
      <w:pPr>
        <w:pStyle w:val="36"/>
        <w:numPr>
          <w:ilvl w:val="0"/>
          <w:numId w:val="3"/>
        </w:numPr>
        <w:shd w:val="clear" w:color="auto" w:fill="FFFFFF"/>
        <w:tabs>
          <w:tab w:val="left" w:pos="1134"/>
        </w:tabs>
        <w:spacing w:before="0" w:beforeAutospacing="0" w:after="0" w:afterAutospacing="0" w:line="580" w:lineRule="exact"/>
        <w:ind w:left="0" w:firstLine="709"/>
        <w:jc w:val="both"/>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效益指标扣分5.1分，项目实施后带来的效益较好，问卷调查满意率82.4%。</w:t>
      </w:r>
    </w:p>
    <w:bookmarkEnd w:id="96"/>
    <w:p>
      <w:pPr>
        <w:pStyle w:val="24"/>
        <w:ind w:firstLine="664"/>
        <w:outlineLvl w:val="1"/>
        <w:rPr>
          <w:rFonts w:ascii="黑体" w:hAnsi="黑体" w:eastAsia="黑体"/>
        </w:rPr>
      </w:pPr>
      <w:bookmarkStart w:id="97" w:name="_Toc491438417"/>
      <w:bookmarkStart w:id="98" w:name="_Toc489949666"/>
      <w:r>
        <w:rPr>
          <w:rFonts w:hint="eastAsia" w:ascii="黑体" w:hAnsi="黑体" w:eastAsia="黑体"/>
        </w:rPr>
        <w:t>四、项目主要绩效</w:t>
      </w:r>
      <w:bookmarkEnd w:id="97"/>
      <w:bookmarkEnd w:id="98"/>
    </w:p>
    <w:p>
      <w:pPr>
        <w:pStyle w:val="24"/>
        <w:tabs>
          <w:tab w:val="left" w:pos="1276"/>
        </w:tabs>
        <w:ind w:firstLine="640"/>
        <w:rPr>
          <w:rFonts w:ascii="仿宋_GB2312" w:hAnsi="楷体" w:cs="宋体"/>
          <w:kern w:val="0"/>
          <w:szCs w:val="32"/>
        </w:rPr>
      </w:pPr>
      <w:r>
        <w:rPr>
          <w:rFonts w:hint="eastAsia" w:ascii="仿宋_GB2312" w:hAnsi="黑体" w:eastAsia="仿宋_GB2312" w:cs="Times New Roman"/>
          <w:spacing w:val="0"/>
          <w:szCs w:val="32"/>
        </w:rPr>
        <w:t>项目绩效目标是增殖放流项目完成后，改善库区水质，使水体透明度增加，藻类数量减少，水质逐步达到国家二类水质标准，带动库区群众就业，增加收入，提高城市供水群众对饮用水的满意度及库区群众对收入的满意度。</w:t>
      </w:r>
    </w:p>
    <w:p>
      <w:pPr>
        <w:pStyle w:val="24"/>
        <w:ind w:firstLine="664"/>
        <w:outlineLvl w:val="1"/>
        <w:rPr>
          <w:rFonts w:ascii="黑体" w:hAnsi="黑体" w:eastAsia="黑体"/>
        </w:rPr>
      </w:pPr>
      <w:bookmarkStart w:id="99" w:name="_Toc491438418"/>
      <w:bookmarkStart w:id="100" w:name="_Toc489949667"/>
      <w:r>
        <w:rPr>
          <w:rFonts w:hint="eastAsia" w:ascii="黑体" w:hAnsi="黑体" w:eastAsia="黑体"/>
        </w:rPr>
        <w:t>五、项目存在的主要问题</w:t>
      </w:r>
      <w:bookmarkEnd w:id="99"/>
      <w:bookmarkEnd w:id="100"/>
    </w:p>
    <w:p>
      <w:pPr>
        <w:pStyle w:val="24"/>
        <w:tabs>
          <w:tab w:val="left" w:pos="1134"/>
        </w:tabs>
        <w:ind w:firstLine="664"/>
        <w:rPr>
          <w:rFonts w:ascii="仿宋_GB2312" w:hAnsi="仿宋" w:eastAsia="仿宋_GB2312" w:cs="Times New Roman"/>
          <w:szCs w:val="32"/>
        </w:rPr>
      </w:pPr>
      <w:bookmarkStart w:id="101" w:name="_Toc489949668"/>
      <w:bookmarkStart w:id="102" w:name="_Toc491438419"/>
      <w:r>
        <w:rPr>
          <w:rFonts w:ascii="仿宋_GB2312" w:hAnsi="仿宋" w:eastAsia="仿宋_GB2312" w:cs="Times New Roman"/>
          <w:szCs w:val="32"/>
        </w:rPr>
        <w:t>1、</w:t>
      </w:r>
      <w:r>
        <w:rPr>
          <w:rFonts w:ascii="仿宋_GB2312" w:hAnsi="仿宋" w:eastAsia="仿宋_GB2312" w:cs="Times New Roman"/>
          <w:szCs w:val="32"/>
        </w:rPr>
        <w:tab/>
      </w:r>
      <w:r>
        <w:rPr>
          <w:rFonts w:ascii="仿宋_GB2312" w:hAnsi="仿宋" w:eastAsia="仿宋_GB2312" w:cs="Times New Roman"/>
          <w:szCs w:val="32"/>
        </w:rPr>
        <w:t>实施增殖放流项目后鱼苗投放后的渔业生产能力未达到预期效果。</w:t>
      </w:r>
    </w:p>
    <w:p>
      <w:pPr>
        <w:pStyle w:val="24"/>
        <w:tabs>
          <w:tab w:val="left" w:pos="1134"/>
        </w:tabs>
        <w:ind w:firstLine="664"/>
        <w:rPr>
          <w:rFonts w:ascii="仿宋_GB2312" w:hAnsi="仿宋" w:eastAsia="仿宋_GB2312" w:cs="Times New Roman"/>
          <w:szCs w:val="32"/>
        </w:rPr>
      </w:pPr>
      <w:r>
        <w:rPr>
          <w:rFonts w:ascii="仿宋_GB2312" w:hAnsi="仿宋" w:eastAsia="仿宋_GB2312" w:cs="Times New Roman"/>
          <w:szCs w:val="32"/>
        </w:rPr>
        <w:t>2、项目管理制度不够健全、完善。</w:t>
      </w:r>
    </w:p>
    <w:p>
      <w:pPr>
        <w:pStyle w:val="24"/>
        <w:tabs>
          <w:tab w:val="left" w:pos="1134"/>
        </w:tabs>
        <w:ind w:firstLine="664"/>
        <w:rPr>
          <w:rFonts w:ascii="仿宋_GB2312" w:hAnsi="仿宋" w:eastAsia="仿宋_GB2312" w:cs="Times New Roman"/>
          <w:szCs w:val="32"/>
        </w:rPr>
      </w:pPr>
      <w:r>
        <w:rPr>
          <w:rFonts w:ascii="仿宋_GB2312" w:hAnsi="仿宋" w:eastAsia="仿宋_GB2312" w:cs="Times New Roman"/>
          <w:szCs w:val="32"/>
        </w:rPr>
        <w:t>3、项目相关抽查资料，各项管理台账，不够完整。</w:t>
      </w:r>
    </w:p>
    <w:p>
      <w:pPr>
        <w:pStyle w:val="24"/>
        <w:tabs>
          <w:tab w:val="left" w:pos="1134"/>
        </w:tabs>
        <w:ind w:firstLine="664"/>
        <w:rPr>
          <w:rFonts w:ascii="黑体" w:hAnsi="黑体" w:eastAsia="黑体"/>
        </w:rPr>
      </w:pPr>
      <w:r>
        <w:rPr>
          <w:rFonts w:hint="eastAsia" w:ascii="黑体" w:hAnsi="黑体" w:eastAsia="黑体"/>
        </w:rPr>
        <w:t>六、意见建议</w:t>
      </w:r>
      <w:bookmarkEnd w:id="101"/>
      <w:bookmarkEnd w:id="102"/>
    </w:p>
    <w:p>
      <w:pPr>
        <w:pStyle w:val="24"/>
        <w:ind w:firstLine="664"/>
        <w:rPr>
          <w:rFonts w:ascii="仿宋_GB2312" w:hAnsi="仿宋" w:eastAsia="仿宋_GB2312" w:cs="Times New Roman"/>
          <w:szCs w:val="32"/>
        </w:rPr>
      </w:pPr>
      <w:bookmarkStart w:id="103" w:name="_Toc489949669"/>
      <w:r>
        <w:rPr>
          <w:rFonts w:hint="eastAsia" w:ascii="仿宋_GB2312" w:hAnsi="仿宋" w:eastAsia="仿宋_GB2312" w:cs="Times New Roman"/>
          <w:szCs w:val="32"/>
        </w:rPr>
        <w:t>为进一步提高财政专项资金的管理水平和使用效益，针对存在的问题，绩效评价小组提出如下建议：</w:t>
      </w:r>
      <w:bookmarkEnd w:id="103"/>
    </w:p>
    <w:p>
      <w:pPr>
        <w:pStyle w:val="24"/>
        <w:ind w:firstLine="664"/>
        <w:rPr>
          <w:rFonts w:ascii="仿宋_GB2312" w:hAnsi="仿宋" w:eastAsia="仿宋_GB2312" w:cs="Times New Roman"/>
          <w:szCs w:val="32"/>
        </w:rPr>
      </w:pPr>
      <w:r>
        <w:rPr>
          <w:rFonts w:ascii="仿宋_GB2312" w:hAnsi="仿宋" w:eastAsia="仿宋_GB2312" w:cs="Times New Roman"/>
          <w:szCs w:val="32"/>
        </w:rPr>
        <w:t>1、实施增殖放流项目后加强后期维护工作，保证鱼苗投放后的成活率，更好的完成项目产出率及各项效益。</w:t>
      </w:r>
    </w:p>
    <w:p>
      <w:pPr>
        <w:pStyle w:val="24"/>
        <w:ind w:firstLine="664"/>
        <w:rPr>
          <w:rFonts w:ascii="仿宋_GB2312" w:hAnsi="仿宋" w:eastAsia="仿宋_GB2312" w:cs="Times New Roman"/>
          <w:szCs w:val="32"/>
        </w:rPr>
      </w:pPr>
      <w:r>
        <w:rPr>
          <w:rFonts w:ascii="仿宋_GB2312" w:hAnsi="仿宋" w:eastAsia="仿宋_GB2312" w:cs="Times New Roman"/>
          <w:szCs w:val="32"/>
        </w:rPr>
        <w:t>2、制定完善的相关管理制度</w:t>
      </w:r>
      <w:r>
        <w:rPr>
          <w:rFonts w:hint="eastAsia" w:ascii="仿宋_GB2312" w:hAnsi="仿宋" w:eastAsia="仿宋_GB2312" w:cs="Times New Roman"/>
          <w:szCs w:val="32"/>
        </w:rPr>
        <w:t>、</w:t>
      </w:r>
      <w:r>
        <w:rPr>
          <w:rFonts w:ascii="仿宋_GB2312" w:hAnsi="仿宋" w:eastAsia="仿宋_GB2312" w:cs="Times New Roman"/>
          <w:szCs w:val="32"/>
        </w:rPr>
        <w:t>该专项资金的财务管理制度</w:t>
      </w:r>
      <w:r>
        <w:rPr>
          <w:rFonts w:hint="eastAsia" w:ascii="仿宋_GB2312" w:hAnsi="仿宋" w:eastAsia="仿宋_GB2312" w:cs="Times New Roman"/>
          <w:szCs w:val="32"/>
        </w:rPr>
        <w:t>。</w:t>
      </w:r>
    </w:p>
    <w:p>
      <w:pPr>
        <w:pStyle w:val="24"/>
        <w:ind w:firstLine="664"/>
        <w:rPr>
          <w:rFonts w:ascii="仿宋_GB2312" w:hAnsi="仿宋" w:eastAsia="仿宋_GB2312" w:cs="Times New Roman"/>
          <w:szCs w:val="32"/>
        </w:rPr>
      </w:pPr>
      <w:r>
        <w:rPr>
          <w:rFonts w:hint="eastAsia" w:ascii="仿宋_GB2312" w:hAnsi="仿宋" w:eastAsia="仿宋_GB2312" w:cs="Times New Roman"/>
          <w:szCs w:val="32"/>
        </w:rPr>
        <w:t>3、</w:t>
      </w:r>
      <w:r>
        <w:rPr>
          <w:rFonts w:ascii="仿宋_GB2312" w:hAnsi="仿宋" w:eastAsia="仿宋_GB2312" w:cs="Times New Roman"/>
          <w:szCs w:val="32"/>
        </w:rPr>
        <w:t>完善项目相关抽查资料，健全各项管理台账，保证资金拨付依据的完整性。</w:t>
      </w:r>
    </w:p>
    <w:p>
      <w:pPr>
        <w:pStyle w:val="24"/>
        <w:tabs>
          <w:tab w:val="left" w:pos="1134"/>
        </w:tabs>
        <w:ind w:firstLine="664"/>
        <w:rPr>
          <w:rFonts w:ascii="黑体" w:hAnsi="黑体" w:eastAsia="黑体"/>
        </w:rPr>
      </w:pPr>
      <w:bookmarkStart w:id="104" w:name="_Toc491438420"/>
      <w:r>
        <w:rPr>
          <w:rFonts w:hint="eastAsia" w:ascii="黑体" w:hAnsi="黑体" w:eastAsia="黑体"/>
        </w:rPr>
        <w:t>七、需要说明的事项</w:t>
      </w:r>
      <w:bookmarkEnd w:id="104"/>
    </w:p>
    <w:p>
      <w:pPr>
        <w:pStyle w:val="24"/>
        <w:ind w:firstLine="564" w:firstLineChars="170"/>
        <w:rPr>
          <w:rFonts w:ascii="仿宋_GB2312" w:hAnsi="黑体" w:eastAsia="仿宋_GB2312" w:cs="Times New Roman"/>
          <w:szCs w:val="32"/>
        </w:rPr>
      </w:pPr>
      <w:r>
        <w:rPr>
          <w:rFonts w:hint="eastAsia" w:ascii="仿宋_GB2312" w:hAnsi="黑体" w:eastAsia="仿宋_GB2312" w:cs="Times New Roman"/>
          <w:szCs w:val="32"/>
        </w:rPr>
        <w:t>（一）本事务所及评估人员与委托评价单位和项目实施单位之间不存在任何特殊的、需要回避的利害关系，评价人员在评价过程中恪守了职业道德规范。</w:t>
      </w:r>
    </w:p>
    <w:p>
      <w:pPr>
        <w:pStyle w:val="24"/>
        <w:ind w:firstLine="564" w:firstLineChars="170"/>
        <w:rPr>
          <w:rFonts w:ascii="仿宋_GB2312" w:hAnsi="黑体" w:eastAsia="仿宋_GB2312" w:cs="Times New Roman"/>
          <w:szCs w:val="32"/>
        </w:rPr>
      </w:pPr>
      <w:r>
        <w:rPr>
          <w:rFonts w:hint="eastAsia" w:ascii="仿宋_GB2312" w:hAnsi="黑体" w:eastAsia="仿宋_GB2312" w:cs="Times New Roman"/>
          <w:szCs w:val="32"/>
        </w:rPr>
        <w:t>（二）项目主管</w:t>
      </w:r>
      <w:r>
        <w:rPr>
          <w:rFonts w:hint="eastAsia" w:ascii="仿宋_GB2312" w:hAnsi="黑体" w:eastAsia="仿宋_GB2312" w:cs="Times New Roman"/>
          <w:color w:val="000000" w:themeColor="text1"/>
          <w:szCs w:val="32"/>
        </w:rPr>
        <w:t>单位</w:t>
      </w:r>
      <w:r>
        <w:rPr>
          <w:rFonts w:hint="eastAsia" w:ascii="仿宋_GB2312" w:hAnsi="仿宋" w:eastAsia="仿宋_GB2312"/>
          <w:color w:val="000000" w:themeColor="text1"/>
          <w:szCs w:val="32"/>
        </w:rPr>
        <w:t>枣庄市市中区水务局</w:t>
      </w:r>
      <w:r>
        <w:rPr>
          <w:rFonts w:hint="eastAsia" w:ascii="仿宋_GB2312" w:hAnsi="黑体" w:eastAsia="仿宋_GB2312" w:cs="Times New Roman"/>
          <w:color w:val="000000" w:themeColor="text1"/>
          <w:szCs w:val="32"/>
        </w:rPr>
        <w:t>及实施单位</w:t>
      </w:r>
      <w:r>
        <w:rPr>
          <w:rFonts w:hint="eastAsia" w:ascii="仿宋_GB2312" w:hAnsi="楷体" w:eastAsia="仿宋_GB2312" w:cs="宋体"/>
          <w:color w:val="000000" w:themeColor="text1"/>
          <w:kern w:val="0"/>
          <w:szCs w:val="32"/>
        </w:rPr>
        <w:t>枣庄市市中区周村水库管理局</w:t>
      </w:r>
      <w:r>
        <w:rPr>
          <w:rFonts w:hint="eastAsia" w:ascii="仿宋_GB2312" w:eastAsia="仿宋_GB2312"/>
          <w:color w:val="000000" w:themeColor="text1"/>
          <w:szCs w:val="32"/>
        </w:rPr>
        <w:t>的</w:t>
      </w:r>
      <w:r>
        <w:rPr>
          <w:rFonts w:hint="eastAsia" w:ascii="仿宋_GB2312" w:hAnsi="黑体" w:eastAsia="仿宋_GB2312" w:cs="Times New Roman"/>
          <w:color w:val="000000" w:themeColor="text1"/>
          <w:szCs w:val="32"/>
        </w:rPr>
        <w:t>责任是提供形成本项目绩效自评报告相关的基础工作材料和项目资金财务核算等相</w:t>
      </w:r>
      <w:r>
        <w:rPr>
          <w:rFonts w:hint="eastAsia" w:ascii="仿宋_GB2312" w:hAnsi="黑体" w:eastAsia="仿宋_GB2312" w:cs="Times New Roman"/>
          <w:szCs w:val="32"/>
        </w:rPr>
        <w:t>关资料，并对其真实性、合法性、完整性负责。</w:t>
      </w:r>
    </w:p>
    <w:p>
      <w:pPr>
        <w:pStyle w:val="24"/>
        <w:ind w:firstLine="664"/>
        <w:rPr>
          <w:rFonts w:ascii="仿宋_GB2312" w:hAnsi="黑体" w:eastAsia="仿宋_GB2312" w:cs="Times New Roman"/>
          <w:szCs w:val="32"/>
        </w:rPr>
      </w:pPr>
    </w:p>
    <w:p>
      <w:pPr>
        <w:pStyle w:val="24"/>
        <w:ind w:firstLine="664"/>
        <w:rPr>
          <w:rFonts w:ascii="仿宋_GB2312" w:hAnsi="黑体" w:eastAsia="仿宋_GB2312" w:cs="Times New Roman"/>
          <w:szCs w:val="32"/>
        </w:rPr>
      </w:pPr>
    </w:p>
    <w:p>
      <w:pPr>
        <w:pStyle w:val="24"/>
        <w:ind w:firstLine="664"/>
        <w:rPr>
          <w:rFonts w:ascii="仿宋_GB2312" w:hAnsi="黑体" w:eastAsia="仿宋_GB2312" w:cs="Times New Roman"/>
          <w:szCs w:val="32"/>
        </w:rPr>
      </w:pPr>
    </w:p>
    <w:p>
      <w:pPr>
        <w:pStyle w:val="24"/>
        <w:ind w:firstLine="664"/>
        <w:rPr>
          <w:rFonts w:ascii="仿宋_GB2312" w:hAnsi="黑体" w:eastAsia="仿宋_GB2312" w:cs="Times New Roman"/>
          <w:szCs w:val="32"/>
        </w:rPr>
      </w:pPr>
      <w:r>
        <w:rPr>
          <w:rFonts w:hint="eastAsia" w:ascii="仿宋_GB2312" w:hAnsi="黑体" w:eastAsia="仿宋_GB2312" w:cs="Times New Roman"/>
          <w:szCs w:val="32"/>
        </w:rPr>
        <w:t>附件：1.现场评价工作底稿</w:t>
      </w:r>
    </w:p>
    <w:p>
      <w:pPr>
        <w:pStyle w:val="24"/>
        <w:ind w:left="708" w:leftChars="227" w:firstLine="996" w:firstLineChars="300"/>
        <w:rPr>
          <w:rFonts w:ascii="仿宋_GB2312" w:hAnsi="黑体" w:eastAsia="仿宋_GB2312" w:cs="Times New Roman"/>
          <w:szCs w:val="32"/>
        </w:rPr>
      </w:pPr>
      <w:r>
        <w:rPr>
          <w:rFonts w:hint="eastAsia" w:ascii="仿宋_GB2312" w:hAnsi="黑体" w:eastAsia="仿宋_GB2312" w:cs="Times New Roman"/>
          <w:szCs w:val="32"/>
        </w:rPr>
        <w:t>2.调查问卷及统计分析表</w:t>
      </w:r>
    </w:p>
    <w:p>
      <w:pPr>
        <w:pStyle w:val="24"/>
        <w:ind w:left="708" w:leftChars="227" w:firstLine="996" w:firstLineChars="300"/>
        <w:rPr>
          <w:rFonts w:ascii="仿宋_GB2312" w:hAnsi="黑体" w:eastAsia="仿宋_GB2312" w:cs="Times New Roman"/>
          <w:szCs w:val="32"/>
        </w:rPr>
      </w:pPr>
      <w:r>
        <w:rPr>
          <w:rFonts w:hint="eastAsia" w:ascii="仿宋_GB2312" w:hAnsi="黑体" w:eastAsia="仿宋_GB2312" w:cs="Times New Roman"/>
          <w:szCs w:val="32"/>
        </w:rPr>
        <w:t>3.绩效评价得分表</w:t>
      </w:r>
    </w:p>
    <w:p>
      <w:pPr>
        <w:pStyle w:val="24"/>
        <w:ind w:left="708" w:leftChars="227" w:firstLine="996" w:firstLineChars="300"/>
        <w:rPr>
          <w:rFonts w:ascii="仿宋_GB2312" w:hAnsi="黑体" w:eastAsia="仿宋_GB2312" w:cs="Times New Roman"/>
          <w:szCs w:val="32"/>
        </w:rPr>
      </w:pPr>
      <w:r>
        <w:rPr>
          <w:rFonts w:hint="eastAsia" w:ascii="仿宋_GB2312" w:hAnsi="黑体" w:eastAsia="仿宋_GB2312" w:cs="Times New Roman"/>
          <w:szCs w:val="32"/>
        </w:rPr>
        <w:t>4.问题清单</w:t>
      </w:r>
    </w:p>
    <w:p>
      <w:pPr>
        <w:pStyle w:val="24"/>
        <w:ind w:left="708" w:leftChars="227" w:firstLine="996" w:firstLineChars="300"/>
        <w:rPr>
          <w:rFonts w:ascii="仿宋_GB2312" w:hAnsi="黑体" w:eastAsia="仿宋_GB2312" w:cs="Times New Roman"/>
          <w:szCs w:val="32"/>
        </w:rPr>
      </w:pPr>
    </w:p>
    <w:p>
      <w:pPr>
        <w:pStyle w:val="24"/>
        <w:ind w:firstLine="0" w:firstLineChars="0"/>
        <w:rPr>
          <w:rFonts w:ascii="仿宋_GB2312" w:hAnsi="黑体" w:eastAsia="仿宋_GB2312" w:cs="Times New Roman"/>
          <w:szCs w:val="32"/>
        </w:rPr>
      </w:pPr>
    </w:p>
    <w:p>
      <w:pPr>
        <w:pStyle w:val="24"/>
        <w:ind w:firstLine="0" w:firstLineChars="0"/>
        <w:rPr>
          <w:rFonts w:ascii="仿宋_GB2312" w:hAnsi="黑体" w:eastAsia="仿宋_GB2312" w:cs="Times New Roman"/>
          <w:szCs w:val="32"/>
        </w:rPr>
      </w:pPr>
    </w:p>
    <w:p>
      <w:pPr>
        <w:pStyle w:val="24"/>
        <w:ind w:firstLine="0" w:firstLineChars="0"/>
        <w:rPr>
          <w:rFonts w:ascii="仿宋_GB2312" w:hAnsi="黑体" w:eastAsia="仿宋_GB2312" w:cs="Times New Roman"/>
          <w:szCs w:val="32"/>
        </w:rPr>
      </w:pPr>
      <w:r>
        <w:rPr>
          <w:rFonts w:hint="eastAsia" w:ascii="仿宋_GB2312" w:hAnsi="黑体" w:eastAsia="仿宋_GB2312" w:cs="Times New Roman"/>
          <w:szCs w:val="32"/>
        </w:rPr>
        <w:t>徐州华兴会计师事务所有限公司    中国注册会计师：</w:t>
      </w:r>
    </w:p>
    <w:p>
      <w:pPr>
        <w:pStyle w:val="24"/>
        <w:ind w:firstLine="564" w:firstLineChars="170"/>
        <w:rPr>
          <w:rFonts w:ascii="仿宋_GB2312" w:hAnsi="黑体" w:eastAsia="仿宋_GB2312" w:cs="Times New Roman"/>
          <w:szCs w:val="32"/>
        </w:rPr>
      </w:pPr>
    </w:p>
    <w:p>
      <w:pPr>
        <w:pStyle w:val="24"/>
        <w:ind w:firstLine="889" w:firstLineChars="268"/>
        <w:rPr>
          <w:rFonts w:ascii="仿宋_GB2312" w:hAnsi="黑体" w:eastAsia="仿宋_GB2312" w:cs="Times New Roman"/>
          <w:szCs w:val="32"/>
        </w:rPr>
      </w:pPr>
    </w:p>
    <w:p>
      <w:pPr>
        <w:pStyle w:val="24"/>
        <w:ind w:firstLine="889" w:firstLineChars="268"/>
        <w:rPr>
          <w:rFonts w:ascii="仿宋_GB2312" w:hAnsi="黑体" w:eastAsia="仿宋_GB2312" w:cs="Times New Roman"/>
          <w:szCs w:val="32"/>
        </w:rPr>
      </w:pPr>
      <w:r>
        <w:rPr>
          <w:rFonts w:hint="eastAsia" w:ascii="仿宋_GB2312" w:hAnsi="黑体" w:eastAsia="仿宋_GB2312" w:cs="Times New Roman"/>
          <w:szCs w:val="32"/>
        </w:rPr>
        <w:t>中国   徐州市             中国注册会计师：</w:t>
      </w:r>
    </w:p>
    <w:p>
      <w:pPr>
        <w:pStyle w:val="24"/>
        <w:ind w:firstLine="564" w:firstLineChars="170"/>
        <w:rPr>
          <w:rFonts w:ascii="仿宋_GB2312" w:hAnsi="黑体" w:eastAsia="仿宋_GB2312" w:cs="Times New Roman"/>
          <w:color w:val="FF0000"/>
          <w:szCs w:val="32"/>
        </w:rPr>
      </w:pPr>
      <w:r>
        <w:rPr>
          <w:rFonts w:hint="eastAsia" w:ascii="仿宋_GB2312" w:hAnsi="黑体" w:eastAsia="仿宋_GB2312" w:cs="Times New Roman"/>
          <w:color w:val="FF0000"/>
          <w:szCs w:val="32"/>
        </w:rPr>
        <w:t xml:space="preserve">                       </w:t>
      </w:r>
    </w:p>
    <w:p>
      <w:pPr>
        <w:pStyle w:val="24"/>
        <w:ind w:firstLine="5212" w:firstLineChars="1570"/>
        <w:rPr>
          <w:rFonts w:ascii="仿宋_GB2312" w:hAnsi="黑体" w:eastAsia="仿宋_GB2312" w:cs="Times New Roman"/>
          <w:szCs w:val="32"/>
        </w:rPr>
      </w:pPr>
    </w:p>
    <w:p>
      <w:pPr>
        <w:pStyle w:val="24"/>
        <w:ind w:firstLine="4980" w:firstLineChars="1500"/>
        <w:rPr>
          <w:rFonts w:ascii="仿宋_GB2312" w:hAnsi="黑体" w:eastAsia="仿宋_GB2312" w:cs="Times New Roman"/>
          <w:szCs w:val="32"/>
        </w:rPr>
      </w:pPr>
      <w:r>
        <w:rPr>
          <w:rFonts w:hint="eastAsia" w:ascii="仿宋_GB2312" w:hAnsi="黑体" w:eastAsia="仿宋_GB2312" w:cs="Times New Roman"/>
          <w:szCs w:val="32"/>
        </w:rPr>
        <w:t>二</w:t>
      </w:r>
      <w:r>
        <w:rPr>
          <w:rFonts w:hint="eastAsia" w:eastAsia="宋体" w:cs="宋体"/>
          <w:szCs w:val="32"/>
        </w:rPr>
        <w:t>〇</w:t>
      </w:r>
      <w:r>
        <w:rPr>
          <w:rFonts w:hint="eastAsia" w:ascii="仿宋_GB2312" w:hAnsi="仿宋_GB2312" w:eastAsia="仿宋_GB2312" w:cs="仿宋_GB2312"/>
          <w:szCs w:val="32"/>
        </w:rPr>
        <w:t>一九年三月十六</w:t>
      </w:r>
      <w:r>
        <w:rPr>
          <w:rFonts w:hint="eastAsia" w:ascii="仿宋_GB2312" w:hAnsi="黑体" w:eastAsia="仿宋_GB2312" w:cs="Times New Roman"/>
          <w:szCs w:val="32"/>
        </w:rPr>
        <w:t>日</w:t>
      </w:r>
    </w:p>
    <w:p>
      <w:pPr>
        <w:pStyle w:val="24"/>
        <w:ind w:firstLine="0" w:firstLineChars="0"/>
        <w:rPr>
          <w:rFonts w:ascii="黑体" w:hAnsi="黑体" w:eastAsia="黑体"/>
        </w:rPr>
      </w:pPr>
      <w:bookmarkStart w:id="105" w:name="_Toc491438421"/>
    </w:p>
    <w:p>
      <w:pPr>
        <w:pStyle w:val="24"/>
        <w:ind w:firstLine="0" w:firstLineChars="0"/>
        <w:rPr>
          <w:rFonts w:ascii="黑体" w:hAnsi="黑体" w:eastAsia="黑体"/>
        </w:rPr>
      </w:pPr>
    </w:p>
    <w:p>
      <w:pPr>
        <w:pStyle w:val="24"/>
        <w:ind w:firstLine="0" w:firstLineChars="0"/>
        <w:rPr>
          <w:rFonts w:ascii="黑体" w:hAnsi="黑体" w:eastAsia="黑体"/>
        </w:rPr>
      </w:pPr>
    </w:p>
    <w:p>
      <w:pPr>
        <w:pStyle w:val="24"/>
        <w:ind w:firstLine="0" w:firstLineChars="0"/>
        <w:rPr>
          <w:rFonts w:ascii="黑体" w:hAnsi="黑体" w:eastAsia="黑体"/>
        </w:rPr>
      </w:pPr>
    </w:p>
    <w:p>
      <w:pPr>
        <w:pStyle w:val="24"/>
        <w:ind w:firstLine="0" w:firstLineChars="0"/>
        <w:rPr>
          <w:rFonts w:ascii="黑体" w:hAnsi="黑体" w:eastAsia="黑体"/>
        </w:rPr>
      </w:pPr>
      <w:r>
        <w:rPr>
          <w:rFonts w:hint="eastAsia" w:ascii="黑体" w:hAnsi="黑体" w:eastAsia="黑体"/>
        </w:rPr>
        <w:t>附件1</w:t>
      </w:r>
    </w:p>
    <w:p>
      <w:pPr>
        <w:pStyle w:val="24"/>
        <w:ind w:firstLine="2656" w:firstLineChars="800"/>
        <w:rPr>
          <w:rFonts w:hint="eastAsia"/>
        </w:rPr>
      </w:pPr>
      <w:r>
        <w:rPr>
          <w:rFonts w:hint="eastAsia" w:ascii="黑体" w:hAnsi="黑体" w:eastAsia="黑体"/>
        </w:rPr>
        <w:t>绩效评价工作底稿</w:t>
      </w:r>
      <w:bookmarkEnd w:id="105"/>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22" w:type="dxa"/>
          </w:tcPr>
          <w:p>
            <w:pPr>
              <w:pStyle w:val="28"/>
              <w:spacing w:line="276" w:lineRule="auto"/>
              <w:ind w:firstLine="0" w:firstLineChars="0"/>
              <w:rPr>
                <w:rFonts w:ascii="仿宋_GB2312"/>
                <w:sz w:val="24"/>
              </w:rPr>
            </w:pPr>
            <w:r>
              <w:rPr>
                <w:rFonts w:hint="eastAsia" w:ascii="仿宋_GB2312"/>
                <w:sz w:val="24"/>
              </w:rPr>
              <w:t>被评价单位：枣庄市中区水务局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522" w:type="dxa"/>
          </w:tcPr>
          <w:p>
            <w:pPr>
              <w:pStyle w:val="28"/>
              <w:spacing w:line="276" w:lineRule="auto"/>
              <w:ind w:firstLine="0" w:firstLineChars="0"/>
              <w:rPr>
                <w:rFonts w:ascii="仿宋_GB2312"/>
                <w:sz w:val="24"/>
              </w:rPr>
            </w:pPr>
            <w:r>
              <w:rPr>
                <w:rFonts w:hint="eastAsia" w:ascii="仿宋_GB2312"/>
                <w:sz w:val="24"/>
              </w:rPr>
              <w:t>项目名称：市中区周村水库增殖放流项目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8"/>
              <w:spacing w:line="276" w:lineRule="auto"/>
              <w:ind w:firstLine="0" w:firstLineChars="0"/>
              <w:rPr>
                <w:rFonts w:ascii="仿宋_GB2312"/>
                <w:sz w:val="24"/>
              </w:rPr>
            </w:pPr>
            <w:r>
              <w:rPr>
                <w:rFonts w:hint="eastAsia" w:ascii="仿宋_GB2312"/>
                <w:sz w:val="24"/>
              </w:rPr>
              <w:t>情况摘要：为持续恢复周村水库生态环境，提升渔业生产能力，加大水生生物资源的养护和修复力度，保护好水源地生态环境，治理周村水库水源地水质，保障城市水源地水质、恢复渔业资源、增加库区群众收入在周村水库实施增殖放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8522" w:type="dxa"/>
          </w:tcPr>
          <w:p>
            <w:pPr>
              <w:pStyle w:val="28"/>
              <w:spacing w:line="276" w:lineRule="auto"/>
              <w:ind w:firstLine="504"/>
              <w:rPr>
                <w:rFonts w:ascii="仿宋_GB2312"/>
                <w:sz w:val="24"/>
              </w:rPr>
            </w:pPr>
            <w:r>
              <w:rPr>
                <w:rFonts w:hint="eastAsia" w:ascii="仿宋_GB2312"/>
                <w:sz w:val="24"/>
              </w:rPr>
              <w:t xml:space="preserve">附件： </w:t>
            </w:r>
          </w:p>
          <w:p>
            <w:pPr>
              <w:pStyle w:val="28"/>
              <w:spacing w:line="276" w:lineRule="auto"/>
              <w:ind w:firstLine="504"/>
              <w:rPr>
                <w:rFonts w:ascii="仿宋_GB2312"/>
                <w:sz w:val="24"/>
              </w:rPr>
            </w:pPr>
            <w:r>
              <w:rPr>
                <w:rFonts w:hint="eastAsia" w:ascii="仿宋_GB2312"/>
                <w:sz w:val="24"/>
              </w:rPr>
              <w:t>项目单位部门职能文件；</w:t>
            </w:r>
          </w:p>
          <w:p>
            <w:pPr>
              <w:pStyle w:val="28"/>
              <w:spacing w:line="276" w:lineRule="auto"/>
              <w:ind w:firstLine="504"/>
              <w:rPr>
                <w:rFonts w:ascii="仿宋_GB2312"/>
                <w:sz w:val="24"/>
              </w:rPr>
            </w:pPr>
            <w:r>
              <w:rPr>
                <w:rFonts w:hint="eastAsia" w:ascii="仿宋_GB2312"/>
                <w:sz w:val="24"/>
              </w:rPr>
              <w:t>项目申请报告：项目申报书或申请；</w:t>
            </w:r>
          </w:p>
          <w:p>
            <w:pPr>
              <w:pStyle w:val="28"/>
              <w:spacing w:line="276" w:lineRule="auto"/>
              <w:ind w:firstLine="504"/>
              <w:rPr>
                <w:rFonts w:ascii="仿宋_GB2312"/>
                <w:sz w:val="24"/>
              </w:rPr>
            </w:pPr>
            <w:r>
              <w:rPr>
                <w:rFonts w:hint="eastAsia" w:ascii="仿宋_GB2312"/>
                <w:sz w:val="24"/>
              </w:rPr>
              <w:t>项目实施方案；</w:t>
            </w:r>
          </w:p>
          <w:p>
            <w:pPr>
              <w:pStyle w:val="28"/>
              <w:spacing w:line="276" w:lineRule="auto"/>
              <w:ind w:firstLine="504"/>
              <w:rPr>
                <w:rFonts w:ascii="仿宋_GB2312"/>
                <w:sz w:val="24"/>
              </w:rPr>
            </w:pPr>
            <w:r>
              <w:rPr>
                <w:rFonts w:hint="eastAsia" w:ascii="仿宋_GB2312"/>
                <w:sz w:val="24"/>
              </w:rPr>
              <w:t>项目管理文件；</w:t>
            </w:r>
          </w:p>
          <w:p>
            <w:pPr>
              <w:pStyle w:val="28"/>
              <w:spacing w:line="276" w:lineRule="auto"/>
              <w:ind w:firstLine="504"/>
              <w:rPr>
                <w:rFonts w:ascii="仿宋_GB2312"/>
                <w:sz w:val="24"/>
              </w:rPr>
            </w:pPr>
            <w:r>
              <w:rPr>
                <w:rFonts w:hint="eastAsia" w:ascii="仿宋_GB2312"/>
                <w:sz w:val="24"/>
              </w:rPr>
              <w:t>项目责任落实相关材料；</w:t>
            </w:r>
          </w:p>
          <w:p>
            <w:pPr>
              <w:pStyle w:val="28"/>
              <w:spacing w:line="276" w:lineRule="auto"/>
              <w:ind w:firstLine="504"/>
              <w:rPr>
                <w:rFonts w:ascii="仿宋_GB2312"/>
                <w:sz w:val="24"/>
              </w:rPr>
            </w:pPr>
            <w:r>
              <w:rPr>
                <w:rFonts w:hint="eastAsia" w:ascii="仿宋_GB2312"/>
                <w:sz w:val="24"/>
              </w:rPr>
              <w:t>项目单位绩效报告；</w:t>
            </w:r>
          </w:p>
          <w:p>
            <w:pPr>
              <w:pStyle w:val="28"/>
              <w:spacing w:line="276" w:lineRule="auto"/>
              <w:ind w:firstLine="504"/>
              <w:rPr>
                <w:rFonts w:ascii="仿宋_GB2312"/>
                <w:sz w:val="24"/>
              </w:rPr>
            </w:pPr>
            <w:r>
              <w:rPr>
                <w:rFonts w:hint="eastAsia" w:ascii="仿宋_GB2312"/>
                <w:sz w:val="24"/>
              </w:rPr>
              <w:t>项目执行情况报告；</w:t>
            </w:r>
          </w:p>
          <w:p>
            <w:pPr>
              <w:pStyle w:val="28"/>
              <w:spacing w:line="276" w:lineRule="auto"/>
              <w:ind w:firstLine="504"/>
              <w:rPr>
                <w:rFonts w:ascii="仿宋_GB2312"/>
                <w:sz w:val="24"/>
              </w:rPr>
            </w:pPr>
            <w:r>
              <w:rPr>
                <w:rFonts w:hint="eastAsia" w:ascii="仿宋_GB2312"/>
                <w:sz w:val="24"/>
              </w:rPr>
              <w:t>反映项目绩效的数据图表等。</w:t>
            </w:r>
          </w:p>
          <w:p>
            <w:pPr>
              <w:pStyle w:val="28"/>
              <w:spacing w:line="276" w:lineRule="auto"/>
              <w:ind w:firstLine="504"/>
              <w:rPr>
                <w:rFonts w:ascii="仿宋_GB2312"/>
                <w:sz w:val="24"/>
              </w:rPr>
            </w:pPr>
            <w:r>
              <w:rPr>
                <w:rFonts w:hint="eastAsia" w:ascii="仿宋_GB2312"/>
                <w:sz w:val="24"/>
              </w:rPr>
              <w:t>项目内容调整报告及批复；</w:t>
            </w:r>
          </w:p>
          <w:p>
            <w:pPr>
              <w:pStyle w:val="28"/>
              <w:spacing w:line="276" w:lineRule="auto"/>
              <w:ind w:firstLine="504"/>
              <w:rPr>
                <w:rFonts w:ascii="仿宋_GB2312"/>
                <w:sz w:val="24"/>
              </w:rPr>
            </w:pPr>
            <w:r>
              <w:rPr>
                <w:rFonts w:hint="eastAsia" w:ascii="仿宋_GB2312"/>
                <w:sz w:val="24"/>
              </w:rPr>
              <w:t>项目实施效果的相关证明材料；</w:t>
            </w:r>
          </w:p>
          <w:p>
            <w:pPr>
              <w:pStyle w:val="28"/>
              <w:spacing w:line="276" w:lineRule="auto"/>
              <w:ind w:firstLine="504"/>
              <w:rPr>
                <w:rFonts w:ascii="仿宋_GB2312"/>
                <w:sz w:val="24"/>
              </w:rPr>
            </w:pPr>
            <w:r>
              <w:rPr>
                <w:rFonts w:hint="eastAsia" w:ascii="仿宋_GB2312"/>
                <w:sz w:val="24"/>
              </w:rPr>
              <w:t>反映项目成果的材料。</w:t>
            </w:r>
          </w:p>
          <w:p>
            <w:pPr>
              <w:pStyle w:val="28"/>
              <w:spacing w:line="276" w:lineRule="auto"/>
              <w:ind w:firstLine="504"/>
              <w:rPr>
                <w:rFonts w:ascii="仿宋_GB2312"/>
                <w:sz w:val="24"/>
              </w:rPr>
            </w:pPr>
            <w:r>
              <w:rPr>
                <w:rFonts w:hint="eastAsia" w:ascii="仿宋_GB2312"/>
                <w:sz w:val="24"/>
              </w:rPr>
              <w:t>财政项目经费预算批复；</w:t>
            </w:r>
          </w:p>
          <w:p>
            <w:pPr>
              <w:pStyle w:val="28"/>
              <w:spacing w:line="276" w:lineRule="auto"/>
              <w:ind w:firstLine="504"/>
              <w:rPr>
                <w:rFonts w:ascii="仿宋_GB2312"/>
                <w:sz w:val="24"/>
              </w:rPr>
            </w:pPr>
            <w:r>
              <w:rPr>
                <w:rFonts w:hint="eastAsia" w:ascii="仿宋_GB2312"/>
                <w:sz w:val="24"/>
              </w:rPr>
              <w:t>项目经费管理文件；</w:t>
            </w:r>
          </w:p>
          <w:p>
            <w:pPr>
              <w:pStyle w:val="28"/>
              <w:spacing w:line="276" w:lineRule="auto"/>
              <w:ind w:firstLine="504"/>
              <w:rPr>
                <w:rFonts w:ascii="仿宋_GB2312"/>
                <w:sz w:val="24"/>
              </w:rPr>
            </w:pPr>
            <w:r>
              <w:rPr>
                <w:rFonts w:hint="eastAsia" w:ascii="仿宋_GB2312"/>
                <w:sz w:val="24"/>
              </w:rPr>
              <w:t>财务管理制度；</w:t>
            </w:r>
          </w:p>
          <w:p>
            <w:pPr>
              <w:pStyle w:val="28"/>
              <w:spacing w:line="276" w:lineRule="auto"/>
              <w:ind w:firstLine="504"/>
              <w:rPr>
                <w:rFonts w:ascii="仿宋_GB2312"/>
                <w:sz w:val="24"/>
              </w:rPr>
            </w:pPr>
            <w:r>
              <w:rPr>
                <w:rFonts w:hint="eastAsia" w:ascii="仿宋_GB2312"/>
                <w:sz w:val="24"/>
              </w:rPr>
              <w:t>项目经费预算表、决算表；</w:t>
            </w:r>
          </w:p>
          <w:p>
            <w:pPr>
              <w:pStyle w:val="28"/>
              <w:spacing w:line="276" w:lineRule="auto"/>
              <w:ind w:firstLine="504"/>
              <w:rPr>
                <w:rFonts w:ascii="仿宋_GB2312"/>
                <w:sz w:val="24"/>
              </w:rPr>
            </w:pPr>
            <w:r>
              <w:rPr>
                <w:rFonts w:hint="eastAsia" w:ascii="仿宋_GB2312"/>
                <w:sz w:val="24"/>
              </w:rPr>
              <w:t>财务会计帐簿及会计凭证；</w:t>
            </w:r>
          </w:p>
          <w:p>
            <w:pPr>
              <w:pStyle w:val="28"/>
              <w:spacing w:line="276" w:lineRule="auto"/>
              <w:ind w:firstLine="504"/>
              <w:rPr>
                <w:rFonts w:ascii="仿宋_GB2312"/>
                <w:sz w:val="24"/>
              </w:rPr>
            </w:pPr>
            <w:r>
              <w:rPr>
                <w:rFonts w:hint="eastAsia" w:ascii="仿宋_GB2312"/>
                <w:sz w:val="24"/>
              </w:rPr>
              <w:t>项目经费调整依据；</w:t>
            </w:r>
          </w:p>
          <w:p>
            <w:pPr>
              <w:pStyle w:val="28"/>
              <w:spacing w:line="276" w:lineRule="auto"/>
              <w:ind w:firstLine="504"/>
              <w:rPr>
                <w:rFonts w:ascii="仿宋_GB2312"/>
                <w:sz w:val="24"/>
              </w:rPr>
            </w:pPr>
            <w:r>
              <w:rPr>
                <w:rFonts w:hint="eastAsia" w:ascii="仿宋_GB2312"/>
                <w:sz w:val="24"/>
              </w:rPr>
              <w:t>项目经费调整报告及批复；</w:t>
            </w:r>
          </w:p>
          <w:p>
            <w:pPr>
              <w:pStyle w:val="28"/>
              <w:spacing w:line="276" w:lineRule="auto"/>
              <w:ind w:firstLine="504"/>
              <w:rPr>
                <w:rFonts w:ascii="仿宋_GB2312"/>
                <w:sz w:val="24"/>
              </w:rPr>
            </w:pPr>
            <w:r>
              <w:rPr>
                <w:rFonts w:hint="eastAsia" w:ascii="仿宋_GB2312"/>
                <w:sz w:val="24"/>
              </w:rPr>
              <w:t>项目年度进展报告；</w:t>
            </w:r>
          </w:p>
          <w:p>
            <w:pPr>
              <w:pStyle w:val="28"/>
              <w:spacing w:line="276" w:lineRule="auto"/>
              <w:ind w:firstLine="504"/>
              <w:rPr>
                <w:rFonts w:ascii="仿宋_GB2312"/>
                <w:sz w:val="24"/>
              </w:rPr>
            </w:pPr>
            <w:r>
              <w:rPr>
                <w:rFonts w:hint="eastAsia" w:ascii="仿宋_GB2312"/>
                <w:sz w:val="24"/>
              </w:rPr>
              <w:t>审计机构对项目执行情况的财务审计报告、专项审计报告、专项检查报告；</w:t>
            </w:r>
          </w:p>
          <w:p>
            <w:pPr>
              <w:pStyle w:val="28"/>
              <w:spacing w:line="276" w:lineRule="auto"/>
              <w:ind w:firstLine="504"/>
              <w:rPr>
                <w:rFonts w:ascii="仿宋_GB2312"/>
                <w:sz w:val="24"/>
              </w:rPr>
            </w:pPr>
          </w:p>
          <w:p>
            <w:pPr>
              <w:pStyle w:val="28"/>
              <w:spacing w:line="276" w:lineRule="auto"/>
              <w:ind w:firstLine="504"/>
              <w:rPr>
                <w:rFonts w:ascii="仿宋_GB2312"/>
                <w:color w:val="FF0000"/>
                <w:sz w:val="24"/>
              </w:rPr>
            </w:pPr>
          </w:p>
        </w:tc>
      </w:tr>
    </w:tbl>
    <w:p>
      <w:pPr>
        <w:tabs>
          <w:tab w:val="left" w:pos="4140"/>
        </w:tabs>
        <w:ind w:firstLine="2823" w:firstLineChars="847"/>
        <w:rPr>
          <w:rFonts w:ascii="黑体" w:hAnsi="黑体" w:eastAsia="黑体"/>
          <w:b/>
          <w:sz w:val="32"/>
          <w:szCs w:val="32"/>
        </w:rPr>
      </w:pPr>
    </w:p>
    <w:p>
      <w:pPr>
        <w:tabs>
          <w:tab w:val="left" w:pos="4140"/>
        </w:tabs>
        <w:ind w:firstLine="2823" w:firstLineChars="847"/>
        <w:rPr>
          <w:rFonts w:ascii="黑体" w:hAnsi="黑体" w:eastAsia="黑体"/>
          <w:b/>
          <w:sz w:val="32"/>
          <w:szCs w:val="32"/>
        </w:rPr>
      </w:pPr>
    </w:p>
    <w:p>
      <w:pPr>
        <w:tabs>
          <w:tab w:val="left" w:pos="4140"/>
        </w:tabs>
        <w:ind w:firstLine="2823" w:firstLineChars="847"/>
        <w:rPr>
          <w:rFonts w:ascii="黑体" w:hAnsi="黑体" w:eastAsia="黑体"/>
          <w:b/>
          <w:sz w:val="32"/>
          <w:szCs w:val="32"/>
        </w:rPr>
      </w:pPr>
    </w:p>
    <w:p>
      <w:pPr>
        <w:tabs>
          <w:tab w:val="left" w:pos="4140"/>
        </w:tabs>
        <w:ind w:firstLine="2823" w:firstLineChars="847"/>
        <w:rPr>
          <w:rFonts w:ascii="黑体" w:hAnsi="黑体" w:eastAsia="黑体"/>
          <w:b/>
          <w:sz w:val="32"/>
          <w:szCs w:val="32"/>
        </w:rPr>
      </w:pPr>
      <w:r>
        <w:rPr>
          <w:rFonts w:hint="eastAsia" w:ascii="黑体" w:hAnsi="黑体" w:eastAsia="黑体"/>
          <w:b/>
          <w:sz w:val="32"/>
          <w:szCs w:val="32"/>
        </w:rPr>
        <w:t>评价方案设计</w:t>
      </w:r>
    </w:p>
    <w:p>
      <w:pPr>
        <w:jc w:val="left"/>
        <w:rPr>
          <w:rFonts w:ascii="仿宋_GB2312"/>
          <w:color w:val="FF0000"/>
          <w:sz w:val="24"/>
        </w:rPr>
      </w:pPr>
      <w:r>
        <w:rPr>
          <w:rFonts w:hint="eastAsia" w:ascii="仿宋_GB2312"/>
          <w:sz w:val="24"/>
        </w:rPr>
        <w:t xml:space="preserve">被评价项目：市中区周村水库增殖放流项目           日期：2019.3  </w:t>
      </w:r>
      <w:r>
        <w:rPr>
          <w:rFonts w:hint="eastAsia" w:ascii="仿宋_GB2312"/>
          <w:color w:val="FF0000"/>
          <w:sz w:val="24"/>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2130" w:type="dxa"/>
            <w:vAlign w:val="center"/>
          </w:tcPr>
          <w:p>
            <w:pPr>
              <w:jc w:val="center"/>
              <w:rPr>
                <w:rFonts w:ascii="仿宋_GB2312"/>
                <w:color w:val="000000" w:themeColor="text1"/>
                <w:sz w:val="24"/>
              </w:rPr>
            </w:pPr>
            <w:r>
              <w:rPr>
                <w:rFonts w:hint="eastAsia" w:ascii="仿宋_GB2312"/>
                <w:color w:val="000000" w:themeColor="text1"/>
                <w:sz w:val="24"/>
              </w:rPr>
              <w:t>收集评价资料</w:t>
            </w:r>
          </w:p>
        </w:tc>
        <w:tc>
          <w:tcPr>
            <w:tcW w:w="6392" w:type="dxa"/>
          </w:tcPr>
          <w:p>
            <w:pPr>
              <w:spacing w:line="240" w:lineRule="auto"/>
              <w:rPr>
                <w:rFonts w:ascii="仿宋_GB2312"/>
                <w:color w:val="000000" w:themeColor="text1"/>
                <w:sz w:val="24"/>
              </w:rPr>
            </w:pPr>
            <w:r>
              <w:rPr>
                <w:rFonts w:hint="eastAsia" w:ascii="仿宋_GB2312"/>
                <w:color w:val="000000" w:themeColor="text1"/>
                <w:sz w:val="24"/>
              </w:rPr>
              <w:t>2019年1月31日前到项目实施单位收集与项目相关的评价资料，并对资料进行合规性检查。</w:t>
            </w:r>
          </w:p>
          <w:p>
            <w:pPr>
              <w:spacing w:line="240" w:lineRule="auto"/>
              <w:rPr>
                <w:rFonts w:ascii="仿宋_GB2312"/>
                <w:color w:val="000000" w:themeColor="text1"/>
                <w:sz w:val="24"/>
              </w:rPr>
            </w:pPr>
            <w:r>
              <w:rPr>
                <w:rFonts w:hint="eastAsia" w:ascii="仿宋_GB2312"/>
                <w:color w:val="000000" w:themeColor="text1"/>
                <w:sz w:val="24"/>
              </w:rPr>
              <w:t>2019年2月20日前</w:t>
            </w:r>
            <w:r>
              <w:rPr>
                <w:rFonts w:hint="eastAsia" w:ascii="仿宋_GB2312" w:hAnsi="黑体"/>
                <w:color w:val="000000" w:themeColor="text1"/>
                <w:sz w:val="24"/>
              </w:rPr>
              <w:t>从多个方面补充实物资料、口头资料、书面资料和分析性资料，尽可能做到资料全面为绩效评价提供可靠依据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2130" w:type="dxa"/>
            <w:vAlign w:val="center"/>
          </w:tcPr>
          <w:p>
            <w:pPr>
              <w:jc w:val="center"/>
              <w:rPr>
                <w:rFonts w:ascii="仿宋_GB2312"/>
                <w:color w:val="000000" w:themeColor="text1"/>
                <w:sz w:val="24"/>
              </w:rPr>
            </w:pPr>
            <w:r>
              <w:rPr>
                <w:rFonts w:hint="eastAsia" w:ascii="仿宋_GB2312"/>
                <w:color w:val="000000" w:themeColor="text1"/>
                <w:sz w:val="24"/>
              </w:rPr>
              <w:t>确定评价人员</w:t>
            </w:r>
          </w:p>
        </w:tc>
        <w:tc>
          <w:tcPr>
            <w:tcW w:w="6392" w:type="dxa"/>
          </w:tcPr>
          <w:p>
            <w:pPr>
              <w:pStyle w:val="28"/>
              <w:spacing w:line="240" w:lineRule="auto"/>
              <w:ind w:firstLine="0" w:firstLineChars="0"/>
              <w:rPr>
                <w:rFonts w:ascii="仿宋_GB2312"/>
                <w:color w:val="000000" w:themeColor="text1"/>
                <w:sz w:val="24"/>
              </w:rPr>
            </w:pPr>
            <w:r>
              <w:rPr>
                <w:rFonts w:hint="eastAsia" w:ascii="仿宋_GB2312" w:hAnsi="仿宋"/>
                <w:color w:val="000000" w:themeColor="text1"/>
                <w:sz w:val="24"/>
              </w:rPr>
              <w:t>2019年1月20日成立绩效评价工作组，由于绩效评价涉及具体的社会、经济调查，要求具有高水平的分析、判断能力，因此在人员配备方面我所充分考虑了相关人员需要具备足够的专业熟练程度和良好的工作能力，因此配备了注册会计师二名，会计师二名，辅助审计人员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2130" w:type="dxa"/>
            <w:vAlign w:val="center"/>
          </w:tcPr>
          <w:p>
            <w:pPr>
              <w:jc w:val="center"/>
              <w:rPr>
                <w:rFonts w:ascii="仿宋_GB2312"/>
                <w:color w:val="000000" w:themeColor="text1"/>
                <w:sz w:val="24"/>
              </w:rPr>
            </w:pPr>
            <w:r>
              <w:rPr>
                <w:rFonts w:hint="eastAsia" w:ascii="仿宋_GB2312"/>
                <w:color w:val="000000" w:themeColor="text1"/>
                <w:sz w:val="24"/>
              </w:rPr>
              <w:t>设计总体方案</w:t>
            </w:r>
          </w:p>
        </w:tc>
        <w:tc>
          <w:tcPr>
            <w:tcW w:w="6392" w:type="dxa"/>
          </w:tcPr>
          <w:p>
            <w:pPr>
              <w:pStyle w:val="28"/>
              <w:spacing w:line="340" w:lineRule="exact"/>
              <w:ind w:firstLine="0" w:firstLineChars="0"/>
              <w:rPr>
                <w:rFonts w:ascii="仿宋_GB2312" w:hAnsi="仿宋"/>
                <w:color w:val="000000" w:themeColor="text1"/>
                <w:sz w:val="24"/>
              </w:rPr>
            </w:pPr>
            <w:r>
              <w:rPr>
                <w:rFonts w:hint="eastAsia" w:ascii="仿宋_GB2312" w:hAnsi="仿宋"/>
                <w:color w:val="000000" w:themeColor="text1"/>
                <w:sz w:val="24"/>
              </w:rPr>
              <w:t>1、评价准备阶段：2019年1月20日成立绩效评价工作组，评价队伍组建完成后积极与相关项目主管单位对接，收集整理绩效评价相关基础资料，按照要求编制支出项目绩效评价实施方案，2019年3月10日前报枣庄市中区财政局审核。</w:t>
            </w:r>
          </w:p>
          <w:p>
            <w:pPr>
              <w:pStyle w:val="16"/>
              <w:spacing w:before="0" w:beforeAutospacing="0" w:after="0" w:afterAutospacing="0" w:line="340" w:lineRule="exact"/>
              <w:jc w:val="both"/>
              <w:rPr>
                <w:rFonts w:ascii="仿宋_GB2312" w:hAnsi="仿宋" w:eastAsia="仿宋_GB2312" w:cs="Times New Roman"/>
                <w:color w:val="000000" w:themeColor="text1"/>
                <w:spacing w:val="6"/>
                <w:kern w:val="2"/>
              </w:rPr>
            </w:pPr>
            <w:r>
              <w:rPr>
                <w:rFonts w:hint="eastAsia" w:ascii="仿宋_GB2312" w:hAnsi="仿宋" w:eastAsia="仿宋_GB2312" w:cs="Times New Roman"/>
                <w:color w:val="000000" w:themeColor="text1"/>
                <w:spacing w:val="6"/>
                <w:kern w:val="2"/>
              </w:rPr>
              <w:t>2、绩效评价实施阶段： 2019年1月20日至2019年1月31日收集及整理项目相关资料，并对资料的合规性进行检查；2019年2月1日至2019年2月20日对前期资料整理过程中出现的问题进行资料的补充及落实，尽可能做的项目资料完整全面，为绩效评价提供可靠的依据；2019年2月21日至2019年2月28日对项目进行实地观察及勘验，实地调查比单纯的文字描述更有证明力，对项目相关范围内进行问卷调查，该项调查可以快速、便捷从大量相关人员获得真实的群众评价信息。</w:t>
            </w:r>
          </w:p>
          <w:p>
            <w:pPr>
              <w:pStyle w:val="28"/>
              <w:spacing w:line="340" w:lineRule="exact"/>
              <w:ind w:firstLine="0" w:firstLineChars="0"/>
              <w:rPr>
                <w:rFonts w:ascii="仿宋_GB2312" w:hAnsi="仿宋"/>
                <w:color w:val="000000" w:themeColor="text1"/>
                <w:sz w:val="24"/>
              </w:rPr>
            </w:pPr>
            <w:r>
              <w:rPr>
                <w:rFonts w:hint="eastAsia" w:ascii="仿宋_GB2312" w:hAnsi="仿宋"/>
                <w:color w:val="000000" w:themeColor="text1"/>
                <w:sz w:val="24"/>
              </w:rPr>
              <w:t xml:space="preserve">3、撰写和提交绩效评价报告阶段：2019年3月10日前在对所收集资料进行全面分析的基础上对绩效目标的投入、过程、产出和效果等做出具体分析和评价，按照数据真实准确、依据充分、分析透彻、结论准确的原则由经验丰富的评价人员出具有明确绩效目标、项目实施中存在的各项问题、以及对存在问题有针对性建议和意见的绩效评价初稿，并提交委托方对评价报告的真实性、合理性、完整性充分征询意见。           </w:t>
            </w:r>
          </w:p>
          <w:p>
            <w:pPr>
              <w:pStyle w:val="28"/>
              <w:spacing w:line="340" w:lineRule="exact"/>
              <w:ind w:firstLine="0" w:firstLineChars="0"/>
              <w:rPr>
                <w:rFonts w:ascii="仿宋_GB2312" w:hAnsi="仿宋"/>
                <w:color w:val="000000" w:themeColor="text1"/>
                <w:sz w:val="24"/>
              </w:rPr>
            </w:pPr>
            <w:r>
              <w:rPr>
                <w:rFonts w:hint="eastAsia" w:ascii="仿宋_GB2312" w:hAnsi="仿宋"/>
                <w:color w:val="000000" w:themeColor="text1"/>
                <w:sz w:val="24"/>
              </w:rPr>
              <w:t>2019年3月10日后根据各方提出的书面合理意见对评价报告进行修改和完善后将绩效评价终稿提交委托方。</w:t>
            </w:r>
          </w:p>
        </w:tc>
      </w:tr>
    </w:tbl>
    <w:p>
      <w:pPr>
        <w:widowControl/>
        <w:autoSpaceDE/>
        <w:autoSpaceDN/>
        <w:adjustRightInd/>
        <w:snapToGrid/>
        <w:spacing w:line="240" w:lineRule="auto"/>
        <w:jc w:val="left"/>
        <w:rPr>
          <w:rFonts w:ascii="仿宋_GB2312"/>
          <w:b/>
          <w:color w:val="FF0000"/>
          <w:sz w:val="36"/>
          <w:szCs w:val="36"/>
        </w:rPr>
        <w:sectPr>
          <w:footerReference r:id="rId3" w:type="default"/>
          <w:pgSz w:w="11906" w:h="16838"/>
          <w:pgMar w:top="1440" w:right="1797" w:bottom="1440" w:left="1797" w:header="851" w:footer="992" w:gutter="0"/>
          <w:pgNumType w:start="1"/>
          <w:cols w:space="425" w:num="1"/>
          <w:docGrid w:type="lines" w:linePitch="408" w:charSpace="0"/>
        </w:sectPr>
      </w:pPr>
    </w:p>
    <w:p>
      <w:pPr>
        <w:pStyle w:val="2"/>
        <w:spacing w:line="580" w:lineRule="exact"/>
        <w:ind w:firstLine="3801" w:firstLineChars="1145"/>
        <w:rPr>
          <w:rFonts w:ascii="黑体" w:hAnsi="黑体" w:eastAsia="黑体"/>
          <w:color w:val="000000" w:themeColor="text1"/>
          <w:sz w:val="32"/>
          <w:szCs w:val="32"/>
        </w:rPr>
      </w:pPr>
      <w:bookmarkStart w:id="106" w:name="_Toc491438422"/>
      <w:r>
        <w:rPr>
          <w:rFonts w:hint="eastAsia" w:ascii="黑体" w:hAnsi="黑体" w:eastAsia="黑体"/>
          <w:color w:val="000000" w:themeColor="text1"/>
          <w:sz w:val="32"/>
          <w:szCs w:val="32"/>
        </w:rPr>
        <w:t>市中区周村水库增殖放流项目支出绩效评价指标表</w:t>
      </w:r>
    </w:p>
    <w:tbl>
      <w:tblPr>
        <w:tblStyle w:val="18"/>
        <w:tblW w:w="1474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709"/>
        <w:gridCol w:w="709"/>
        <w:gridCol w:w="992"/>
        <w:gridCol w:w="1701"/>
        <w:gridCol w:w="2268"/>
        <w:gridCol w:w="3260"/>
        <w:gridCol w:w="1276"/>
        <w:gridCol w:w="170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1" w:hRule="atLeast"/>
        </w:trPr>
        <w:tc>
          <w:tcPr>
            <w:tcW w:w="993" w:type="dxa"/>
            <w:vAlign w:val="center"/>
          </w:tcPr>
          <w:p>
            <w:pPr>
              <w:spacing w:line="240" w:lineRule="auto"/>
              <w:jc w:val="center"/>
              <w:rPr>
                <w:rFonts w:eastAsia="宋体" w:cstheme="minorBidi"/>
                <w:b/>
                <w:sz w:val="18"/>
                <w:szCs w:val="18"/>
              </w:rPr>
            </w:pPr>
            <w:r>
              <w:rPr>
                <w:rFonts w:hint="eastAsia" w:eastAsia="宋体" w:cstheme="minorBidi"/>
                <w:b/>
                <w:sz w:val="18"/>
                <w:szCs w:val="18"/>
              </w:rPr>
              <w:t>一级</w:t>
            </w:r>
            <w:r>
              <w:rPr>
                <w:rFonts w:hint="eastAsia" w:eastAsia="宋体" w:cstheme="minorBidi"/>
                <w:b/>
                <w:sz w:val="18"/>
                <w:szCs w:val="18"/>
              </w:rPr>
              <w:br w:type="textWrapping"/>
            </w:r>
            <w:r>
              <w:rPr>
                <w:rFonts w:hint="eastAsia" w:eastAsia="宋体" w:cstheme="minorBidi"/>
                <w:b/>
                <w:sz w:val="18"/>
                <w:szCs w:val="18"/>
              </w:rPr>
              <w:t>指标</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权重</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二级</w:t>
            </w:r>
            <w:r>
              <w:rPr>
                <w:rFonts w:hint="eastAsia" w:eastAsia="宋体" w:cstheme="minorBidi"/>
                <w:b/>
                <w:sz w:val="18"/>
                <w:szCs w:val="18"/>
              </w:rPr>
              <w:br w:type="textWrapping"/>
            </w:r>
            <w:r>
              <w:rPr>
                <w:rFonts w:hint="eastAsia" w:eastAsia="宋体" w:cstheme="minorBidi"/>
                <w:b/>
                <w:sz w:val="18"/>
                <w:szCs w:val="18"/>
              </w:rPr>
              <w:t>指标</w:t>
            </w:r>
          </w:p>
        </w:tc>
        <w:tc>
          <w:tcPr>
            <w:tcW w:w="992" w:type="dxa"/>
            <w:vAlign w:val="center"/>
          </w:tcPr>
          <w:p>
            <w:pPr>
              <w:spacing w:line="240" w:lineRule="auto"/>
              <w:jc w:val="center"/>
              <w:rPr>
                <w:rFonts w:eastAsia="宋体" w:cstheme="minorBidi"/>
                <w:b/>
                <w:sz w:val="18"/>
                <w:szCs w:val="18"/>
              </w:rPr>
            </w:pPr>
            <w:r>
              <w:rPr>
                <w:rFonts w:hint="eastAsia" w:eastAsia="宋体" w:cstheme="minorBidi"/>
                <w:b/>
                <w:sz w:val="18"/>
                <w:szCs w:val="18"/>
              </w:rPr>
              <w:t>三级指标</w:t>
            </w:r>
          </w:p>
        </w:tc>
        <w:tc>
          <w:tcPr>
            <w:tcW w:w="1701" w:type="dxa"/>
            <w:vAlign w:val="center"/>
          </w:tcPr>
          <w:p>
            <w:pPr>
              <w:spacing w:line="240" w:lineRule="auto"/>
              <w:jc w:val="center"/>
              <w:rPr>
                <w:rFonts w:eastAsia="宋体" w:cstheme="minorBidi"/>
                <w:b/>
                <w:sz w:val="18"/>
                <w:szCs w:val="18"/>
              </w:rPr>
            </w:pPr>
            <w:r>
              <w:rPr>
                <w:rFonts w:hint="eastAsia" w:eastAsia="宋体" w:cstheme="minorBidi"/>
                <w:b/>
                <w:sz w:val="18"/>
                <w:szCs w:val="18"/>
              </w:rPr>
              <w:t>四级指标及分值</w:t>
            </w:r>
          </w:p>
        </w:tc>
        <w:tc>
          <w:tcPr>
            <w:tcW w:w="2268" w:type="dxa"/>
            <w:vAlign w:val="center"/>
          </w:tcPr>
          <w:p>
            <w:pPr>
              <w:spacing w:line="240" w:lineRule="auto"/>
              <w:jc w:val="center"/>
              <w:rPr>
                <w:rFonts w:eastAsia="宋体" w:cstheme="minorBidi"/>
                <w:b/>
                <w:sz w:val="18"/>
                <w:szCs w:val="18"/>
              </w:rPr>
            </w:pPr>
            <w:r>
              <w:rPr>
                <w:rFonts w:hint="eastAsia" w:eastAsia="宋体" w:cstheme="minorBidi"/>
                <w:b/>
                <w:sz w:val="18"/>
                <w:szCs w:val="18"/>
              </w:rPr>
              <w:t>指标说明</w:t>
            </w:r>
          </w:p>
        </w:tc>
        <w:tc>
          <w:tcPr>
            <w:tcW w:w="3260" w:type="dxa"/>
            <w:vAlign w:val="center"/>
          </w:tcPr>
          <w:p>
            <w:pPr>
              <w:spacing w:line="240" w:lineRule="auto"/>
              <w:jc w:val="center"/>
              <w:rPr>
                <w:rFonts w:eastAsia="宋体" w:cstheme="minorBidi"/>
                <w:b/>
                <w:sz w:val="18"/>
                <w:szCs w:val="18"/>
              </w:rPr>
            </w:pPr>
            <w:r>
              <w:rPr>
                <w:rFonts w:hint="eastAsia" w:eastAsia="宋体" w:cstheme="minorBidi"/>
                <w:b/>
                <w:sz w:val="18"/>
                <w:szCs w:val="18"/>
              </w:rPr>
              <w:t>评价标准</w:t>
            </w:r>
          </w:p>
        </w:tc>
        <w:tc>
          <w:tcPr>
            <w:tcW w:w="1276" w:type="dxa"/>
            <w:vAlign w:val="center"/>
          </w:tcPr>
          <w:p>
            <w:pPr>
              <w:spacing w:line="240" w:lineRule="auto"/>
              <w:jc w:val="center"/>
              <w:rPr>
                <w:rFonts w:eastAsia="宋体" w:cstheme="minorBidi"/>
                <w:b/>
                <w:sz w:val="18"/>
                <w:szCs w:val="18"/>
              </w:rPr>
            </w:pPr>
            <w:r>
              <w:rPr>
                <w:rFonts w:hint="eastAsia" w:eastAsia="宋体" w:cstheme="minorBidi"/>
                <w:b/>
                <w:sz w:val="18"/>
                <w:szCs w:val="18"/>
              </w:rPr>
              <w:t>依据</w:t>
            </w:r>
          </w:p>
        </w:tc>
        <w:tc>
          <w:tcPr>
            <w:tcW w:w="1701" w:type="dxa"/>
            <w:vAlign w:val="center"/>
          </w:tcPr>
          <w:p>
            <w:pPr>
              <w:spacing w:line="240" w:lineRule="auto"/>
              <w:jc w:val="center"/>
              <w:rPr>
                <w:rFonts w:eastAsia="宋体" w:cstheme="minorBidi"/>
                <w:b/>
                <w:sz w:val="18"/>
                <w:szCs w:val="18"/>
              </w:rPr>
            </w:pPr>
            <w:r>
              <w:rPr>
                <w:rFonts w:hint="eastAsia" w:eastAsia="宋体" w:cstheme="minorBidi"/>
                <w:b/>
                <w:sz w:val="18"/>
                <w:szCs w:val="18"/>
              </w:rPr>
              <w:t>依据来源</w:t>
            </w:r>
          </w:p>
        </w:tc>
        <w:tc>
          <w:tcPr>
            <w:tcW w:w="1134" w:type="dxa"/>
            <w:vAlign w:val="center"/>
          </w:tcPr>
          <w:p>
            <w:pPr>
              <w:spacing w:line="240" w:lineRule="auto"/>
              <w:jc w:val="center"/>
              <w:rPr>
                <w:rFonts w:eastAsia="宋体" w:cstheme="minorBidi"/>
                <w:b/>
                <w:sz w:val="18"/>
                <w:szCs w:val="18"/>
              </w:rPr>
            </w:pPr>
            <w:r>
              <w:rPr>
                <w:rFonts w:hint="eastAsia" w:eastAsia="宋体" w:cstheme="minorBidi"/>
                <w:b/>
                <w:sz w:val="18"/>
                <w:szCs w:val="18"/>
              </w:rPr>
              <w:t>资料收集方式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投入   （20分）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20%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立项  （12分）</w:t>
            </w:r>
          </w:p>
        </w:tc>
        <w:tc>
          <w:tcPr>
            <w:tcW w:w="992"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项目实施依据       （4分)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政策依据(2分）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项目政策依据、目标设定能够提供相关资料。</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目标设定符合相关政策，满分2分,一般为1分。</w:t>
            </w:r>
          </w:p>
        </w:tc>
        <w:tc>
          <w:tcPr>
            <w:tcW w:w="1276"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项目设定及项目实施方案</w:t>
            </w:r>
          </w:p>
        </w:tc>
        <w:tc>
          <w:tcPr>
            <w:tcW w:w="1701"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项目规划书及实施方案</w:t>
            </w:r>
          </w:p>
        </w:tc>
        <w:tc>
          <w:tcPr>
            <w:tcW w:w="1134"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案卷研究、互联网检索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0"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主要目标（2分）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项目目标设定合理。</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方案符合要求，现状分析清晰，内容合理、准确，满分2分，一般为1分。</w:t>
            </w:r>
          </w:p>
        </w:tc>
        <w:tc>
          <w:tcPr>
            <w:tcW w:w="1276" w:type="dxa"/>
            <w:vMerge w:val="continue"/>
            <w:vAlign w:val="center"/>
          </w:tcPr>
          <w:p>
            <w:pPr>
              <w:spacing w:line="240" w:lineRule="auto"/>
              <w:jc w:val="left"/>
              <w:rPr>
                <w:rFonts w:eastAsia="宋体" w:cstheme="minorBidi"/>
                <w:sz w:val="18"/>
                <w:szCs w:val="18"/>
              </w:rPr>
            </w:pPr>
          </w:p>
        </w:tc>
        <w:tc>
          <w:tcPr>
            <w:tcW w:w="1701" w:type="dxa"/>
            <w:vMerge w:val="continue"/>
            <w:vAlign w:val="center"/>
          </w:tcPr>
          <w:p>
            <w:pPr>
              <w:spacing w:line="240" w:lineRule="auto"/>
              <w:jc w:val="left"/>
              <w:rPr>
                <w:rFonts w:eastAsia="宋体" w:cstheme="minorBidi"/>
                <w:sz w:val="18"/>
                <w:szCs w:val="18"/>
              </w:rPr>
            </w:pP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目标的设定情况       （8分)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目标设立依据的充分性（4分）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目标设定的是否客观、科学进行评价。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目标制定是否科学客观，满分4分，一般为1分。</w:t>
            </w:r>
          </w:p>
        </w:tc>
        <w:tc>
          <w:tcPr>
            <w:tcW w:w="1276"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有关要求、社会发展规划、行业发展规划与项目有关的战略，部门职责</w:t>
            </w:r>
          </w:p>
        </w:tc>
        <w:tc>
          <w:tcPr>
            <w:tcW w:w="1701"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项目实施方案、计划书、任务书、责任书中列明的项目目标，相关法律法规，山东省经济发展规划、行业发展规划，部门职责</w:t>
            </w:r>
          </w:p>
        </w:tc>
        <w:tc>
          <w:tcPr>
            <w:tcW w:w="1134"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案卷研究、互联网检索</w:t>
            </w:r>
          </w:p>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7"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目标与任务计划的相符性(4分）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对绩效目标是否与预算相符进行评价。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项目绩效目标与项目预算计划数、资金量相符，满分4分不相符为0分。</w:t>
            </w:r>
          </w:p>
        </w:tc>
        <w:tc>
          <w:tcPr>
            <w:tcW w:w="1276" w:type="dxa"/>
            <w:vMerge w:val="continue"/>
            <w:vAlign w:val="center"/>
          </w:tcPr>
          <w:p>
            <w:pPr>
              <w:spacing w:line="240" w:lineRule="auto"/>
              <w:jc w:val="left"/>
              <w:rPr>
                <w:rFonts w:eastAsia="宋体" w:cstheme="minorBidi"/>
                <w:sz w:val="18"/>
                <w:szCs w:val="18"/>
              </w:rPr>
            </w:pPr>
          </w:p>
        </w:tc>
        <w:tc>
          <w:tcPr>
            <w:tcW w:w="1701" w:type="dxa"/>
            <w:vMerge w:val="continue"/>
            <w:vAlign w:val="center"/>
          </w:tcPr>
          <w:p>
            <w:pPr>
              <w:spacing w:line="240" w:lineRule="auto"/>
              <w:jc w:val="left"/>
              <w:rPr>
                <w:rFonts w:eastAsia="宋体" w:cstheme="minorBidi"/>
                <w:sz w:val="18"/>
                <w:szCs w:val="18"/>
              </w:rPr>
            </w:pP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Align w:val="center"/>
          </w:tcPr>
          <w:p>
            <w:pPr>
              <w:spacing w:line="240" w:lineRule="auto"/>
              <w:jc w:val="left"/>
              <w:rPr>
                <w:rFonts w:eastAsia="宋体" w:cstheme="minorBidi"/>
                <w:sz w:val="18"/>
                <w:szCs w:val="18"/>
              </w:rPr>
            </w:pPr>
            <w:r>
              <w:rPr>
                <w:rFonts w:hint="eastAsia" w:eastAsia="宋体" w:cstheme="minorBidi"/>
                <w:sz w:val="18"/>
                <w:szCs w:val="18"/>
              </w:rPr>
              <w:t>资金</w:t>
            </w:r>
            <w:r>
              <w:rPr>
                <w:rFonts w:hint="eastAsia" w:eastAsia="宋体" w:cstheme="minorBidi"/>
                <w:sz w:val="18"/>
                <w:szCs w:val="18"/>
              </w:rPr>
              <w:br w:type="textWrapping"/>
            </w:r>
            <w:r>
              <w:rPr>
                <w:rFonts w:hint="eastAsia" w:eastAsia="宋体" w:cstheme="minorBidi"/>
                <w:sz w:val="18"/>
                <w:szCs w:val="18"/>
              </w:rPr>
              <w:t>落实    (8分）</w:t>
            </w: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项目资金到位及时率（8分）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区级财政资金到位及时性(8分）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对区级财政资金到位及时性进行评价。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指标分值=到位及时率×指标满分值8分，满分为8分。</w:t>
            </w:r>
          </w:p>
        </w:tc>
        <w:tc>
          <w:tcPr>
            <w:tcW w:w="1276" w:type="dxa"/>
            <w:vMerge w:val="continue"/>
            <w:vAlign w:val="center"/>
          </w:tcPr>
          <w:p>
            <w:pPr>
              <w:spacing w:line="240" w:lineRule="auto"/>
              <w:jc w:val="left"/>
              <w:rPr>
                <w:rFonts w:eastAsia="宋体" w:cstheme="minorBidi"/>
                <w:sz w:val="18"/>
                <w:szCs w:val="18"/>
              </w:rPr>
            </w:pPr>
          </w:p>
        </w:tc>
        <w:tc>
          <w:tcPr>
            <w:tcW w:w="1701" w:type="dxa"/>
            <w:vMerge w:val="continue"/>
            <w:vAlign w:val="center"/>
          </w:tcPr>
          <w:p>
            <w:pPr>
              <w:spacing w:line="240" w:lineRule="auto"/>
              <w:jc w:val="left"/>
              <w:rPr>
                <w:rFonts w:eastAsia="宋体" w:cstheme="minorBidi"/>
                <w:sz w:val="18"/>
                <w:szCs w:val="18"/>
              </w:rPr>
            </w:pP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trPr>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过程      （30分）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30%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业务</w:t>
            </w:r>
            <w:r>
              <w:rPr>
                <w:rFonts w:hint="eastAsia" w:eastAsia="宋体" w:cstheme="minorBidi"/>
                <w:sz w:val="18"/>
                <w:szCs w:val="18"/>
              </w:rPr>
              <w:br w:type="textWrapping"/>
            </w:r>
            <w:r>
              <w:rPr>
                <w:rFonts w:hint="eastAsia" w:eastAsia="宋体" w:cstheme="minorBidi"/>
                <w:sz w:val="18"/>
                <w:szCs w:val="18"/>
              </w:rPr>
              <w:t>管理  （15分）</w:t>
            </w:r>
          </w:p>
        </w:tc>
        <w:tc>
          <w:tcPr>
            <w:tcW w:w="992"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组织管理水平</w:t>
            </w:r>
          </w:p>
          <w:p>
            <w:pPr>
              <w:spacing w:line="240" w:lineRule="auto"/>
              <w:jc w:val="left"/>
              <w:rPr>
                <w:rFonts w:eastAsia="宋体" w:cstheme="minorBidi"/>
                <w:sz w:val="18"/>
                <w:szCs w:val="18"/>
              </w:rPr>
            </w:pPr>
            <w:r>
              <w:rPr>
                <w:rFonts w:hint="eastAsia" w:eastAsia="宋体" w:cstheme="minorBidi"/>
                <w:sz w:val="18"/>
                <w:szCs w:val="18"/>
              </w:rPr>
              <w:t>（10分）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组织机构情况</w:t>
            </w:r>
          </w:p>
          <w:p>
            <w:pPr>
              <w:spacing w:line="240" w:lineRule="auto"/>
              <w:jc w:val="left"/>
              <w:rPr>
                <w:rFonts w:eastAsia="宋体" w:cstheme="minorBidi"/>
                <w:sz w:val="18"/>
                <w:szCs w:val="18"/>
              </w:rPr>
            </w:pPr>
            <w:r>
              <w:rPr>
                <w:rFonts w:hint="eastAsia" w:eastAsia="宋体" w:cstheme="minorBidi"/>
                <w:sz w:val="18"/>
                <w:szCs w:val="18"/>
              </w:rPr>
              <w:t>(4分）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机构是否健全、分工明确</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项目机构是否齐全、项目分工是否明确进行评价，满分为4分超标0分。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项目抽检实施方案。</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业务管理制度、国家法律、政策</w:t>
            </w: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管理制度保障</w:t>
            </w:r>
          </w:p>
          <w:p>
            <w:pPr>
              <w:spacing w:line="240" w:lineRule="auto"/>
              <w:jc w:val="left"/>
              <w:rPr>
                <w:rFonts w:eastAsia="宋体" w:cstheme="minorBidi"/>
                <w:sz w:val="18"/>
                <w:szCs w:val="18"/>
              </w:rPr>
            </w:pPr>
            <w:r>
              <w:rPr>
                <w:rFonts w:hint="eastAsia" w:eastAsia="宋体" w:cstheme="minorBidi"/>
                <w:sz w:val="18"/>
                <w:szCs w:val="18"/>
              </w:rPr>
              <w:t>(4分）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管理制度是否健全及落实，档案资料是否归档。</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项目管理制度是否健全及落实，招投标资料、合同书、验收报告、技术鉴定等是否齐全及归档，满分4分，不完整为1分，未制定为0分。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管理制度、日常执行情况</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项目单位相关业务管理制度、项目实施的有关档案资料</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实地核查、网络、电话调查、案卷研究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7"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管理机构办公条件的保障(2分）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项目承担单位人员、设备及场地是否能保障项目顺利实施。</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项目单位人员是否充足，办公基本条件是否具备，满分2分，不具备的为0分。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项目档案文档、档案目录、存档资料</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实施方案、合同、验收、资金审批拨付材料、管理制度、会议纪要等</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案卷研究、现场核查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项目质量可控性</w:t>
            </w:r>
          </w:p>
          <w:p>
            <w:pPr>
              <w:spacing w:line="240" w:lineRule="auto"/>
              <w:jc w:val="left"/>
              <w:rPr>
                <w:rFonts w:eastAsia="宋体" w:cstheme="minorBidi"/>
                <w:sz w:val="18"/>
                <w:szCs w:val="18"/>
              </w:rPr>
            </w:pPr>
            <w:r>
              <w:rPr>
                <w:rFonts w:hint="eastAsia" w:eastAsia="宋体" w:cstheme="minorBidi"/>
                <w:sz w:val="18"/>
                <w:szCs w:val="18"/>
              </w:rPr>
              <w:t>（5分）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项目质量或标准的健全性(1分）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对目是否具有完备的质量与标准要求进行评价。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项目是否具有完备的质量与标准要求，满分1分，标准不健全为0分。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项目相关执行标准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项目单位制定的标准、行业标准等</w:t>
            </w:r>
          </w:p>
        </w:tc>
        <w:tc>
          <w:tcPr>
            <w:tcW w:w="1134"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现场核查、案卷研究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项目实施的控制情况(2分）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对项目实施的控制情况进行评价。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项目实施与实施方案或计划相符，项目实施的控制情况，满分2分，一般为1分，不相符为0分。</w:t>
            </w:r>
          </w:p>
        </w:tc>
        <w:tc>
          <w:tcPr>
            <w:tcW w:w="1276"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项目实际建设完成情况、实施方案、计划书列明的建设内容</w:t>
            </w:r>
          </w:p>
        </w:tc>
        <w:tc>
          <w:tcPr>
            <w:tcW w:w="1701"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实施方案或任务书、督导检查记录、进度验收记录、验收报告等</w:t>
            </w: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7"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项目质量管理水平(2分）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项目完成质量管理及监管。(2分）</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是否对项目完成质量进行监管和抽查。</w:t>
            </w:r>
          </w:p>
        </w:tc>
        <w:tc>
          <w:tcPr>
            <w:tcW w:w="1276" w:type="dxa"/>
            <w:vMerge w:val="continue"/>
            <w:vAlign w:val="center"/>
          </w:tcPr>
          <w:p>
            <w:pPr>
              <w:spacing w:line="240" w:lineRule="auto"/>
              <w:jc w:val="left"/>
              <w:rPr>
                <w:rFonts w:eastAsia="宋体" w:cstheme="minorBidi"/>
                <w:sz w:val="18"/>
                <w:szCs w:val="18"/>
              </w:rPr>
            </w:pPr>
          </w:p>
        </w:tc>
        <w:tc>
          <w:tcPr>
            <w:tcW w:w="1701" w:type="dxa"/>
            <w:vMerge w:val="continue"/>
            <w:vAlign w:val="center"/>
          </w:tcPr>
          <w:p>
            <w:pPr>
              <w:spacing w:line="240" w:lineRule="auto"/>
              <w:jc w:val="left"/>
              <w:rPr>
                <w:rFonts w:eastAsia="宋体" w:cstheme="minorBidi"/>
                <w:sz w:val="18"/>
                <w:szCs w:val="18"/>
              </w:rPr>
            </w:pP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993" w:type="dxa"/>
            <w:vAlign w:val="center"/>
          </w:tcPr>
          <w:p>
            <w:pPr>
              <w:spacing w:line="240" w:lineRule="auto"/>
              <w:jc w:val="center"/>
              <w:rPr>
                <w:rFonts w:eastAsia="宋体" w:cstheme="minorBidi"/>
                <w:b/>
                <w:sz w:val="18"/>
                <w:szCs w:val="18"/>
              </w:rPr>
            </w:pPr>
            <w:r>
              <w:rPr>
                <w:rFonts w:hint="eastAsia" w:eastAsia="宋体" w:cstheme="minorBidi"/>
                <w:b/>
                <w:sz w:val="18"/>
                <w:szCs w:val="18"/>
              </w:rPr>
              <w:t>一级</w:t>
            </w:r>
            <w:r>
              <w:rPr>
                <w:rFonts w:hint="eastAsia" w:eastAsia="宋体" w:cstheme="minorBidi"/>
                <w:b/>
                <w:sz w:val="18"/>
                <w:szCs w:val="18"/>
              </w:rPr>
              <w:br w:type="textWrapping"/>
            </w:r>
            <w:r>
              <w:rPr>
                <w:rFonts w:hint="eastAsia" w:eastAsia="宋体" w:cstheme="minorBidi"/>
                <w:b/>
                <w:sz w:val="18"/>
                <w:szCs w:val="18"/>
              </w:rPr>
              <w:t>指标</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权重</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二级</w:t>
            </w:r>
            <w:r>
              <w:rPr>
                <w:rFonts w:hint="eastAsia" w:eastAsia="宋体" w:cstheme="minorBidi"/>
                <w:b/>
                <w:sz w:val="18"/>
                <w:szCs w:val="18"/>
              </w:rPr>
              <w:br w:type="textWrapping"/>
            </w:r>
            <w:r>
              <w:rPr>
                <w:rFonts w:hint="eastAsia" w:eastAsia="宋体" w:cstheme="minorBidi"/>
                <w:b/>
                <w:sz w:val="18"/>
                <w:szCs w:val="18"/>
              </w:rPr>
              <w:t>指标</w:t>
            </w:r>
          </w:p>
        </w:tc>
        <w:tc>
          <w:tcPr>
            <w:tcW w:w="992" w:type="dxa"/>
            <w:vAlign w:val="center"/>
          </w:tcPr>
          <w:p>
            <w:pPr>
              <w:spacing w:line="240" w:lineRule="auto"/>
              <w:jc w:val="center"/>
              <w:rPr>
                <w:rFonts w:eastAsia="宋体" w:cstheme="minorBidi"/>
                <w:b/>
                <w:sz w:val="18"/>
                <w:szCs w:val="18"/>
              </w:rPr>
            </w:pPr>
            <w:r>
              <w:rPr>
                <w:rFonts w:hint="eastAsia" w:eastAsia="宋体" w:cstheme="minorBidi"/>
                <w:b/>
                <w:sz w:val="18"/>
                <w:szCs w:val="18"/>
              </w:rPr>
              <w:t>三级指标</w:t>
            </w:r>
          </w:p>
        </w:tc>
        <w:tc>
          <w:tcPr>
            <w:tcW w:w="1701" w:type="dxa"/>
            <w:vAlign w:val="center"/>
          </w:tcPr>
          <w:p>
            <w:pPr>
              <w:spacing w:line="240" w:lineRule="auto"/>
              <w:jc w:val="center"/>
              <w:rPr>
                <w:rFonts w:eastAsia="宋体" w:cstheme="minorBidi"/>
                <w:b/>
                <w:sz w:val="18"/>
                <w:szCs w:val="18"/>
              </w:rPr>
            </w:pPr>
            <w:r>
              <w:rPr>
                <w:rFonts w:hint="eastAsia" w:eastAsia="宋体" w:cstheme="minorBidi"/>
                <w:b/>
                <w:sz w:val="18"/>
                <w:szCs w:val="18"/>
              </w:rPr>
              <w:t>四级指标及分值</w:t>
            </w:r>
          </w:p>
        </w:tc>
        <w:tc>
          <w:tcPr>
            <w:tcW w:w="2268" w:type="dxa"/>
            <w:vAlign w:val="center"/>
          </w:tcPr>
          <w:p>
            <w:pPr>
              <w:spacing w:line="240" w:lineRule="auto"/>
              <w:jc w:val="center"/>
              <w:rPr>
                <w:rFonts w:eastAsia="宋体" w:cstheme="minorBidi"/>
                <w:b/>
                <w:sz w:val="18"/>
                <w:szCs w:val="18"/>
              </w:rPr>
            </w:pPr>
            <w:r>
              <w:rPr>
                <w:rFonts w:hint="eastAsia" w:eastAsia="宋体" w:cstheme="minorBidi"/>
                <w:b/>
                <w:sz w:val="18"/>
                <w:szCs w:val="18"/>
              </w:rPr>
              <w:t>指标说明</w:t>
            </w:r>
          </w:p>
        </w:tc>
        <w:tc>
          <w:tcPr>
            <w:tcW w:w="3260" w:type="dxa"/>
            <w:vAlign w:val="center"/>
          </w:tcPr>
          <w:p>
            <w:pPr>
              <w:spacing w:line="240" w:lineRule="auto"/>
              <w:jc w:val="center"/>
              <w:rPr>
                <w:rFonts w:eastAsia="宋体" w:cstheme="minorBidi"/>
                <w:b/>
                <w:sz w:val="18"/>
                <w:szCs w:val="18"/>
              </w:rPr>
            </w:pPr>
            <w:r>
              <w:rPr>
                <w:rFonts w:hint="eastAsia" w:eastAsia="宋体" w:cstheme="minorBidi"/>
                <w:b/>
                <w:sz w:val="18"/>
                <w:szCs w:val="18"/>
              </w:rPr>
              <w:t>评价标准</w:t>
            </w:r>
          </w:p>
        </w:tc>
        <w:tc>
          <w:tcPr>
            <w:tcW w:w="1276" w:type="dxa"/>
            <w:vAlign w:val="center"/>
          </w:tcPr>
          <w:p>
            <w:pPr>
              <w:spacing w:line="240" w:lineRule="auto"/>
              <w:jc w:val="center"/>
              <w:rPr>
                <w:rFonts w:eastAsia="宋体" w:cstheme="minorBidi"/>
                <w:b/>
                <w:sz w:val="18"/>
                <w:szCs w:val="18"/>
              </w:rPr>
            </w:pPr>
            <w:r>
              <w:rPr>
                <w:rFonts w:hint="eastAsia" w:eastAsia="宋体" w:cstheme="minorBidi"/>
                <w:b/>
                <w:sz w:val="18"/>
                <w:szCs w:val="18"/>
              </w:rPr>
              <w:t>依据</w:t>
            </w:r>
          </w:p>
        </w:tc>
        <w:tc>
          <w:tcPr>
            <w:tcW w:w="1701" w:type="dxa"/>
            <w:vAlign w:val="center"/>
          </w:tcPr>
          <w:p>
            <w:pPr>
              <w:spacing w:line="240" w:lineRule="auto"/>
              <w:jc w:val="center"/>
              <w:rPr>
                <w:rFonts w:eastAsia="宋体" w:cstheme="minorBidi"/>
                <w:b/>
                <w:sz w:val="18"/>
                <w:szCs w:val="18"/>
              </w:rPr>
            </w:pPr>
            <w:r>
              <w:rPr>
                <w:rFonts w:hint="eastAsia" w:eastAsia="宋体" w:cstheme="minorBidi"/>
                <w:b/>
                <w:sz w:val="18"/>
                <w:szCs w:val="18"/>
              </w:rPr>
              <w:t>依据来源</w:t>
            </w:r>
          </w:p>
        </w:tc>
        <w:tc>
          <w:tcPr>
            <w:tcW w:w="1134" w:type="dxa"/>
            <w:vAlign w:val="center"/>
          </w:tcPr>
          <w:p>
            <w:pPr>
              <w:spacing w:line="240" w:lineRule="auto"/>
              <w:jc w:val="center"/>
              <w:rPr>
                <w:rFonts w:eastAsia="宋体" w:cstheme="minorBidi"/>
                <w:b/>
                <w:sz w:val="18"/>
                <w:szCs w:val="18"/>
              </w:rPr>
            </w:pPr>
            <w:r>
              <w:rPr>
                <w:rFonts w:hint="eastAsia" w:eastAsia="宋体" w:cstheme="minorBidi"/>
                <w:b/>
                <w:sz w:val="18"/>
                <w:szCs w:val="18"/>
              </w:rPr>
              <w:t>资料收集方式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接上页  过程</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接上页</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财务</w:t>
            </w:r>
            <w:r>
              <w:rPr>
                <w:rFonts w:hint="eastAsia" w:eastAsia="宋体" w:cstheme="minorBidi"/>
                <w:sz w:val="18"/>
                <w:szCs w:val="18"/>
              </w:rPr>
              <w:br w:type="textWrapping"/>
            </w:r>
            <w:r>
              <w:rPr>
                <w:rFonts w:hint="eastAsia" w:eastAsia="宋体" w:cstheme="minorBidi"/>
                <w:sz w:val="18"/>
                <w:szCs w:val="18"/>
              </w:rPr>
              <w:t>管理  （15分）</w:t>
            </w: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财务管理制度健全性（6分）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资金管理制度的健全性(6分）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对项目单位是否建立完善资金管理措施和制度进行评价。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项目单位资金管理措施和制度健全，满分6分，为制定制度为0分。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项目执行的资金管理制度</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项目单位制定的资金管理办法</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现场核查、案卷研究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资金使用合规性及相符性</w:t>
            </w:r>
          </w:p>
          <w:p>
            <w:pPr>
              <w:spacing w:line="240" w:lineRule="auto"/>
              <w:jc w:val="left"/>
              <w:rPr>
                <w:rFonts w:eastAsia="宋体" w:cstheme="minorBidi"/>
                <w:sz w:val="18"/>
                <w:szCs w:val="18"/>
              </w:rPr>
            </w:pPr>
            <w:r>
              <w:rPr>
                <w:rFonts w:hint="eastAsia" w:eastAsia="宋体" w:cstheme="minorBidi"/>
                <w:sz w:val="18"/>
                <w:szCs w:val="18"/>
              </w:rPr>
              <w:t>（9分）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资金使用的合规性(4分）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对专项资金的适用范围、支出依据是否合理进行评价。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资金使用不合规的，发现1处扣1分；发现挤占、挪用、截留、改变用途问题，扣2-4分，若项目20%以上资金存在问题二级指标整体不得分。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资金使用、支出的规范性和合规性</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专项资金管理办法，项目单位支出凭证等相关财务资料</w:t>
            </w:r>
          </w:p>
        </w:tc>
        <w:tc>
          <w:tcPr>
            <w:tcW w:w="1134"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5"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资金拨付的合规性(2分）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对专项资金审批、拨付手续、拨付程序，拨付进度是否规范进行评价。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审批、拨付手续不够规范、程序不够严谨，发现1处扣0.5分，若项目20%以上资金违反资金管理办法相关规定，则二级指标整体不得分。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拨付流程</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与专项资金拨付相关的凭证和资料</w:t>
            </w: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48"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政府采购的合规性(2分）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对项目采购是否经过政府采购程序，符合招标法的相关规定，程序是否合规进行评价。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项目采购经过政府采购程序，符合招标法的相关规定，程序合规，得1分，否则不得分，若项目20%以上资金违反相关规定，则二级指标整体不得分。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采购文件、采购的货物、服务等</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政府采购公告、招标文件、投标文件、政府采购合同等</w:t>
            </w: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7"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Merge w:val="continue"/>
            <w:vAlign w:val="center"/>
          </w:tcPr>
          <w:p>
            <w:pPr>
              <w:spacing w:line="240" w:lineRule="auto"/>
              <w:jc w:val="left"/>
              <w:rPr>
                <w:rFonts w:eastAsia="宋体" w:cstheme="minorBidi"/>
                <w:sz w:val="18"/>
                <w:szCs w:val="18"/>
              </w:rPr>
            </w:pP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项目支出与预算的相符性(1分）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对项目支出是否符合预算的要求进行评价。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支出符合预算要求，得1分，否则不得分，若支出与预算内容不符且偏差率超过5%，则二级指标整体不得分。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支出数、预算数、支出进度、支出进度</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项目支出凭证、项目预算文件等相关财务资料</w:t>
            </w:r>
          </w:p>
        </w:tc>
        <w:tc>
          <w:tcPr>
            <w:tcW w:w="1134"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3" w:hRule="atLeast"/>
        </w:trPr>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产出     （20分）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20%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产出  （20分）</w:t>
            </w: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项目完成情况       （5分）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预定目标是否实现</w:t>
            </w:r>
          </w:p>
          <w:p>
            <w:pPr>
              <w:spacing w:line="240" w:lineRule="auto"/>
              <w:jc w:val="left"/>
              <w:rPr>
                <w:rFonts w:eastAsia="宋体" w:cstheme="minorBidi"/>
                <w:sz w:val="18"/>
                <w:szCs w:val="18"/>
              </w:rPr>
            </w:pPr>
            <w:r>
              <w:rPr>
                <w:rFonts w:hint="eastAsia" w:eastAsia="宋体" w:cstheme="minorBidi"/>
                <w:sz w:val="18"/>
                <w:szCs w:val="18"/>
              </w:rPr>
              <w:t>（5分）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对照预定目标，对项目完成情况进行评价【完成率=（实际完成量/计划完成量）×100%】。</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指标分值=实际完成率×指标满分值5分，若项目实际完成量达不到计划完成量的80%，则二级指标整体不得分。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项目实际完成内容、计划完成内容</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实施方案或任务书、现场调研记录、项目完成记录等相关资料</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案卷研究、现场核查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7"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项目完成质量       （5分）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项目完成质量合格率（5分）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对照预定目标，对项目实施质量达标情况进行评价【质量达标率=（质量达标完成量/实际完成量）×100%。</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指标分值=质量达标率×指标满分值5分。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项目完成内容、有关行业标准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项目现场调研记录、项目记录档案资料、检查验收记录、有关行业标准</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实地核查、案卷研究、电话访谈、座谈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完成及时性（5分）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项目是否按时完成(5分）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对项目是否预定日期完成进行评价。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项目是否按实施方案如期完成，满分5分，推迟的按照情况酌情扣分，扣完为止。</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项目目标和内容、项目实际完成内容</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实施方案或任务书、项目进度计划相关资料</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实地核查、案卷研究、电话访谈、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成本情况（5分）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有无超过预算规定的总金额（5分）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对支出是否超过预算进行评价。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项目支出是否超过预算，满分5分，超出预算的酌情扣分，扣完为止。</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支出数、项目已完成内容</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实施方案或任务书、专项资金使用管理制度</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现场核查、案卷研究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spacing w:line="240" w:lineRule="auto"/>
              <w:jc w:val="center"/>
              <w:rPr>
                <w:rFonts w:eastAsia="宋体" w:cstheme="minorBidi"/>
                <w:b/>
                <w:sz w:val="18"/>
                <w:szCs w:val="18"/>
              </w:rPr>
            </w:pPr>
            <w:r>
              <w:rPr>
                <w:rFonts w:hint="eastAsia" w:eastAsia="宋体" w:cstheme="minorBidi"/>
                <w:b/>
                <w:sz w:val="18"/>
                <w:szCs w:val="18"/>
              </w:rPr>
              <w:t>一级</w:t>
            </w:r>
            <w:r>
              <w:rPr>
                <w:rFonts w:hint="eastAsia" w:eastAsia="宋体" w:cstheme="minorBidi"/>
                <w:b/>
                <w:sz w:val="18"/>
                <w:szCs w:val="18"/>
              </w:rPr>
              <w:br w:type="textWrapping"/>
            </w:r>
            <w:r>
              <w:rPr>
                <w:rFonts w:hint="eastAsia" w:eastAsia="宋体" w:cstheme="minorBidi"/>
                <w:b/>
                <w:sz w:val="18"/>
                <w:szCs w:val="18"/>
              </w:rPr>
              <w:t>指标</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权重</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二级</w:t>
            </w:r>
            <w:r>
              <w:rPr>
                <w:rFonts w:hint="eastAsia" w:eastAsia="宋体" w:cstheme="minorBidi"/>
                <w:b/>
                <w:sz w:val="18"/>
                <w:szCs w:val="18"/>
              </w:rPr>
              <w:br w:type="textWrapping"/>
            </w:r>
            <w:r>
              <w:rPr>
                <w:rFonts w:hint="eastAsia" w:eastAsia="宋体" w:cstheme="minorBidi"/>
                <w:b/>
                <w:sz w:val="18"/>
                <w:szCs w:val="18"/>
              </w:rPr>
              <w:t>指标</w:t>
            </w:r>
          </w:p>
        </w:tc>
        <w:tc>
          <w:tcPr>
            <w:tcW w:w="992" w:type="dxa"/>
            <w:vAlign w:val="center"/>
          </w:tcPr>
          <w:p>
            <w:pPr>
              <w:spacing w:line="240" w:lineRule="auto"/>
              <w:jc w:val="center"/>
              <w:rPr>
                <w:rFonts w:eastAsia="宋体" w:cstheme="minorBidi"/>
                <w:b/>
                <w:sz w:val="18"/>
                <w:szCs w:val="18"/>
              </w:rPr>
            </w:pPr>
            <w:r>
              <w:rPr>
                <w:rFonts w:hint="eastAsia" w:eastAsia="宋体" w:cstheme="minorBidi"/>
                <w:b/>
                <w:sz w:val="18"/>
                <w:szCs w:val="18"/>
              </w:rPr>
              <w:t>三级指标</w:t>
            </w:r>
          </w:p>
        </w:tc>
        <w:tc>
          <w:tcPr>
            <w:tcW w:w="1701" w:type="dxa"/>
            <w:vAlign w:val="center"/>
          </w:tcPr>
          <w:p>
            <w:pPr>
              <w:spacing w:line="240" w:lineRule="auto"/>
              <w:jc w:val="center"/>
              <w:rPr>
                <w:rFonts w:eastAsia="宋体" w:cstheme="minorBidi"/>
                <w:b/>
                <w:sz w:val="18"/>
                <w:szCs w:val="18"/>
              </w:rPr>
            </w:pPr>
            <w:r>
              <w:rPr>
                <w:rFonts w:hint="eastAsia" w:eastAsia="宋体" w:cstheme="minorBidi"/>
                <w:b/>
                <w:sz w:val="18"/>
                <w:szCs w:val="18"/>
              </w:rPr>
              <w:t>四级指标及分值</w:t>
            </w:r>
          </w:p>
        </w:tc>
        <w:tc>
          <w:tcPr>
            <w:tcW w:w="2268" w:type="dxa"/>
            <w:vAlign w:val="center"/>
          </w:tcPr>
          <w:p>
            <w:pPr>
              <w:spacing w:line="240" w:lineRule="auto"/>
              <w:jc w:val="center"/>
              <w:rPr>
                <w:rFonts w:eastAsia="宋体" w:cstheme="minorBidi"/>
                <w:b/>
                <w:sz w:val="18"/>
                <w:szCs w:val="18"/>
              </w:rPr>
            </w:pPr>
            <w:r>
              <w:rPr>
                <w:rFonts w:hint="eastAsia" w:eastAsia="宋体" w:cstheme="minorBidi"/>
                <w:b/>
                <w:sz w:val="18"/>
                <w:szCs w:val="18"/>
              </w:rPr>
              <w:t>指标说明</w:t>
            </w:r>
          </w:p>
        </w:tc>
        <w:tc>
          <w:tcPr>
            <w:tcW w:w="3260" w:type="dxa"/>
            <w:vAlign w:val="center"/>
          </w:tcPr>
          <w:p>
            <w:pPr>
              <w:spacing w:line="240" w:lineRule="auto"/>
              <w:jc w:val="center"/>
              <w:rPr>
                <w:rFonts w:eastAsia="宋体" w:cstheme="minorBidi"/>
                <w:b/>
                <w:sz w:val="18"/>
                <w:szCs w:val="18"/>
              </w:rPr>
            </w:pPr>
            <w:r>
              <w:rPr>
                <w:rFonts w:hint="eastAsia" w:eastAsia="宋体" w:cstheme="minorBidi"/>
                <w:b/>
                <w:sz w:val="18"/>
                <w:szCs w:val="18"/>
              </w:rPr>
              <w:t>评价标准</w:t>
            </w:r>
          </w:p>
        </w:tc>
        <w:tc>
          <w:tcPr>
            <w:tcW w:w="1276" w:type="dxa"/>
            <w:vAlign w:val="center"/>
          </w:tcPr>
          <w:p>
            <w:pPr>
              <w:spacing w:line="240" w:lineRule="auto"/>
              <w:jc w:val="center"/>
              <w:rPr>
                <w:rFonts w:eastAsia="宋体" w:cstheme="minorBidi"/>
                <w:b/>
                <w:sz w:val="18"/>
                <w:szCs w:val="18"/>
              </w:rPr>
            </w:pPr>
            <w:r>
              <w:rPr>
                <w:rFonts w:hint="eastAsia" w:eastAsia="宋体" w:cstheme="minorBidi"/>
                <w:b/>
                <w:sz w:val="18"/>
                <w:szCs w:val="18"/>
              </w:rPr>
              <w:t>依据</w:t>
            </w:r>
          </w:p>
        </w:tc>
        <w:tc>
          <w:tcPr>
            <w:tcW w:w="1701" w:type="dxa"/>
            <w:vAlign w:val="center"/>
          </w:tcPr>
          <w:p>
            <w:pPr>
              <w:spacing w:line="240" w:lineRule="auto"/>
              <w:jc w:val="center"/>
              <w:rPr>
                <w:rFonts w:eastAsia="宋体" w:cstheme="minorBidi"/>
                <w:b/>
                <w:sz w:val="18"/>
                <w:szCs w:val="18"/>
              </w:rPr>
            </w:pPr>
            <w:r>
              <w:rPr>
                <w:rFonts w:hint="eastAsia" w:eastAsia="宋体" w:cstheme="minorBidi"/>
                <w:b/>
                <w:sz w:val="18"/>
                <w:szCs w:val="18"/>
              </w:rPr>
              <w:t>依据来源</w:t>
            </w:r>
          </w:p>
        </w:tc>
        <w:tc>
          <w:tcPr>
            <w:tcW w:w="1134" w:type="dxa"/>
            <w:vAlign w:val="center"/>
          </w:tcPr>
          <w:p>
            <w:pPr>
              <w:spacing w:line="240" w:lineRule="auto"/>
              <w:jc w:val="center"/>
              <w:rPr>
                <w:rFonts w:eastAsia="宋体" w:cstheme="minorBidi"/>
                <w:b/>
                <w:sz w:val="18"/>
                <w:szCs w:val="18"/>
              </w:rPr>
            </w:pPr>
            <w:r>
              <w:rPr>
                <w:rFonts w:hint="eastAsia" w:eastAsia="宋体" w:cstheme="minorBidi"/>
                <w:b/>
                <w:sz w:val="18"/>
                <w:szCs w:val="18"/>
              </w:rPr>
              <w:t>资料收集方式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效果     （30分）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30%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项目效益（30分）</w:t>
            </w: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经济效益      （6分）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带动库区群众就业及增加收入（6分）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增殖放流后增加库区就业及增加库区群众收入。</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审核相关资料。</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实施方案</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、项目实施记录、现场调研记录表</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咨询、座谈、实地核查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生态效益（6分）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改善水库水质（6分）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增殖放流后改善水库水质。</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审核相关检测资料。</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现场勘查及相关抽检资料</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上级公布检测资料及抽检资料</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现场核查、案卷研究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3"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社会效益（6分）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通过增殖放流推动产生的社会效果（6分）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评价人员实地勘察、现场打分及放流单位相关记录进行评价。</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根据评价人员实地勘察、现场打分及被抽检单位记录进行评价，满分6分，效果好为6分，效果一般为4分，效果差为0分。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现场勘查、问卷调查</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现场与实施方案的比对情况</w:t>
            </w:r>
          </w:p>
        </w:tc>
        <w:tc>
          <w:tcPr>
            <w:tcW w:w="1134" w:type="dxa"/>
            <w:vAlign w:val="center"/>
          </w:tcPr>
          <w:p>
            <w:pPr>
              <w:spacing w:line="240" w:lineRule="auto"/>
              <w:jc w:val="left"/>
              <w:rPr>
                <w:rFonts w:eastAsia="宋体" w:cstheme="minorBidi"/>
                <w:sz w:val="18"/>
                <w:szCs w:val="18"/>
              </w:rPr>
            </w:pPr>
            <w:r>
              <w:rPr>
                <w:rFonts w:hint="eastAsia" w:eastAsia="宋体" w:cstheme="minorBidi"/>
                <w:sz w:val="18"/>
                <w:szCs w:val="18"/>
              </w:rPr>
              <w:t>实地核查，调查问卷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6"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可持续影响（6分）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增殖放流后对水质持续改善（6分）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增殖放流后对水质持续改善，是否达到目标标准</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根据检测资料、评价人员走访，问卷调查进行评价，满分6分，一般为4分，无持续性为0分。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现场观察及走访</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是否达到实施方案要的目标</w:t>
            </w:r>
          </w:p>
        </w:tc>
        <w:tc>
          <w:tcPr>
            <w:tcW w:w="1134"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　</w:t>
            </w:r>
          </w:p>
          <w:p>
            <w:pPr>
              <w:spacing w:line="240" w:lineRule="auto"/>
              <w:jc w:val="left"/>
              <w:rPr>
                <w:rFonts w:eastAsia="宋体" w:cstheme="minorBidi"/>
                <w:sz w:val="18"/>
                <w:szCs w:val="18"/>
              </w:rPr>
            </w:pPr>
            <w:r>
              <w:rPr>
                <w:rFonts w:hint="eastAsia" w:eastAsia="宋体" w:cstheme="minorBidi"/>
                <w:sz w:val="18"/>
                <w:szCs w:val="18"/>
              </w:rPr>
              <w:t>问卷调查、电话、网络调查、座谈、受益人群访谈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992" w:type="dxa"/>
            <w:vAlign w:val="center"/>
          </w:tcPr>
          <w:p>
            <w:pPr>
              <w:spacing w:line="240" w:lineRule="auto"/>
              <w:jc w:val="left"/>
              <w:rPr>
                <w:rFonts w:eastAsia="宋体" w:cstheme="minorBidi"/>
                <w:sz w:val="18"/>
                <w:szCs w:val="18"/>
              </w:rPr>
            </w:pPr>
            <w:r>
              <w:rPr>
                <w:rFonts w:hint="eastAsia" w:eastAsia="宋体" w:cstheme="minorBidi"/>
                <w:sz w:val="18"/>
                <w:szCs w:val="18"/>
              </w:rPr>
              <w:t>社会公众或服务对象满意度      （6分）</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问卷满意度（6分）</w:t>
            </w:r>
          </w:p>
        </w:tc>
        <w:tc>
          <w:tcPr>
            <w:tcW w:w="2268" w:type="dxa"/>
            <w:vAlign w:val="center"/>
          </w:tcPr>
          <w:p>
            <w:pPr>
              <w:spacing w:line="240" w:lineRule="auto"/>
              <w:jc w:val="left"/>
              <w:rPr>
                <w:rFonts w:eastAsia="宋体" w:cstheme="minorBidi"/>
                <w:sz w:val="18"/>
                <w:szCs w:val="18"/>
              </w:rPr>
            </w:pPr>
            <w:r>
              <w:rPr>
                <w:rFonts w:hint="eastAsia" w:eastAsia="宋体" w:cstheme="minorBidi"/>
                <w:sz w:val="18"/>
                <w:szCs w:val="18"/>
              </w:rPr>
              <w:t>社会公众或服务对象对项目实施效果的满意程度。</w:t>
            </w:r>
          </w:p>
        </w:tc>
        <w:tc>
          <w:tcPr>
            <w:tcW w:w="3260" w:type="dxa"/>
            <w:vAlign w:val="center"/>
          </w:tcPr>
          <w:p>
            <w:pPr>
              <w:spacing w:line="240" w:lineRule="auto"/>
              <w:jc w:val="left"/>
              <w:rPr>
                <w:rFonts w:eastAsia="宋体" w:cstheme="minorBidi"/>
                <w:sz w:val="18"/>
                <w:szCs w:val="18"/>
              </w:rPr>
            </w:pPr>
            <w:r>
              <w:rPr>
                <w:rFonts w:hint="eastAsia" w:eastAsia="宋体" w:cstheme="minorBidi"/>
                <w:sz w:val="18"/>
                <w:szCs w:val="18"/>
              </w:rPr>
              <w:t>指标分值=满意率×指标满分值6分。</w:t>
            </w:r>
          </w:p>
        </w:tc>
        <w:tc>
          <w:tcPr>
            <w:tcW w:w="1276" w:type="dxa"/>
            <w:vAlign w:val="center"/>
          </w:tcPr>
          <w:p>
            <w:pPr>
              <w:spacing w:line="240" w:lineRule="auto"/>
              <w:jc w:val="left"/>
              <w:rPr>
                <w:rFonts w:eastAsia="宋体" w:cstheme="minorBidi"/>
                <w:sz w:val="18"/>
                <w:szCs w:val="18"/>
              </w:rPr>
            </w:pPr>
            <w:r>
              <w:rPr>
                <w:rFonts w:hint="eastAsia" w:eastAsia="宋体" w:cstheme="minorBidi"/>
                <w:sz w:val="18"/>
                <w:szCs w:val="18"/>
              </w:rPr>
              <w:t>社会公众户服务对象意见、建议</w:t>
            </w:r>
          </w:p>
        </w:tc>
        <w:tc>
          <w:tcPr>
            <w:tcW w:w="1701" w:type="dxa"/>
            <w:vAlign w:val="center"/>
          </w:tcPr>
          <w:p>
            <w:pPr>
              <w:spacing w:line="240" w:lineRule="auto"/>
              <w:jc w:val="left"/>
              <w:rPr>
                <w:rFonts w:eastAsia="宋体" w:cstheme="minorBidi"/>
                <w:sz w:val="18"/>
                <w:szCs w:val="18"/>
              </w:rPr>
            </w:pPr>
            <w:r>
              <w:rPr>
                <w:rFonts w:hint="eastAsia" w:eastAsia="宋体" w:cstheme="minorBidi"/>
                <w:sz w:val="18"/>
                <w:szCs w:val="18"/>
              </w:rPr>
              <w:t>问卷调查表、电话、网络调查记录表、座谈记录</w:t>
            </w:r>
          </w:p>
        </w:tc>
        <w:tc>
          <w:tcPr>
            <w:tcW w:w="1134" w:type="dxa"/>
            <w:vMerge w:val="continue"/>
            <w:vAlign w:val="center"/>
          </w:tcPr>
          <w:p>
            <w:pPr>
              <w:spacing w:line="240" w:lineRule="auto"/>
              <w:jc w:val="left"/>
              <w:rPr>
                <w:rFonts w:eastAsia="宋体" w:cstheme="minorBidi"/>
                <w:sz w:val="18"/>
                <w:szCs w:val="18"/>
              </w:rPr>
            </w:pPr>
          </w:p>
        </w:tc>
      </w:tr>
    </w:tbl>
    <w:p>
      <w:pPr>
        <w:widowControl/>
        <w:jc w:val="left"/>
        <w:rPr>
          <w:rFonts w:eastAsia="宋体"/>
          <w:sz w:val="18"/>
          <w:szCs w:val="18"/>
        </w:rPr>
      </w:pPr>
    </w:p>
    <w:p/>
    <w:p/>
    <w:p/>
    <w:p/>
    <w:p/>
    <w:p/>
    <w:p/>
    <w:p>
      <w:pPr>
        <w:pStyle w:val="23"/>
        <w:ind w:firstLine="0" w:firstLineChars="0"/>
        <w:rPr>
          <w:color w:val="FF0000"/>
        </w:rPr>
        <w:sectPr>
          <w:pgSz w:w="16838" w:h="11906" w:orient="landscape"/>
          <w:pgMar w:top="1134" w:right="1440" w:bottom="1134" w:left="1440" w:header="851" w:footer="992" w:gutter="0"/>
          <w:cols w:space="425" w:num="1"/>
          <w:docGrid w:type="linesAndChars" w:linePitch="408" w:charSpace="0"/>
        </w:sectPr>
      </w:pPr>
    </w:p>
    <w:p>
      <w:pPr>
        <w:pStyle w:val="23"/>
        <w:ind w:firstLine="0" w:firstLineChars="0"/>
      </w:pPr>
      <w:r>
        <w:rPr>
          <w:rFonts w:hint="eastAsia"/>
        </w:rPr>
        <w:t>附件2</w:t>
      </w:r>
    </w:p>
    <w:p>
      <w:pPr>
        <w:pStyle w:val="23"/>
        <w:ind w:firstLine="3520" w:firstLineChars="1100"/>
      </w:pPr>
      <w:r>
        <w:rPr>
          <w:rFonts w:hint="eastAsia"/>
        </w:rPr>
        <w:t>调查问卷设计及统计</w:t>
      </w:r>
      <w:bookmarkEnd w:id="106"/>
    </w:p>
    <w:p>
      <w:pPr>
        <w:jc w:val="left"/>
        <w:rPr>
          <w:rFonts w:ascii="仿宋_GB2312"/>
          <w:b/>
          <w:color w:val="FF0000"/>
          <w:sz w:val="24"/>
        </w:rPr>
      </w:pPr>
      <w:r>
        <w:rPr>
          <w:rFonts w:hint="eastAsia" w:ascii="仿宋_GB2312"/>
          <w:sz w:val="24"/>
        </w:rPr>
        <w:t>被评价项目：市中区周村水库增殖放流项目</w:t>
      </w:r>
      <w:r>
        <w:rPr>
          <w:rFonts w:ascii="仿宋_GB2312"/>
          <w:sz w:val="24"/>
        </w:rPr>
        <w:t xml:space="preserve"> </w:t>
      </w:r>
      <w:r>
        <w:rPr>
          <w:rFonts w:hint="eastAsia" w:ascii="仿宋_GB2312"/>
          <w:sz w:val="24"/>
        </w:rPr>
        <w:t xml:space="preserve">                       日期：2019.3</w:t>
      </w:r>
      <w:r>
        <w:rPr>
          <w:rFonts w:hint="eastAsia" w:ascii="仿宋_GB2312"/>
          <w:color w:val="FF0000"/>
          <w:sz w:val="24"/>
        </w:rPr>
        <w:t xml:space="preserve">             </w:t>
      </w: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1" w:hRule="atLeast"/>
        </w:trPr>
        <w:tc>
          <w:tcPr>
            <w:tcW w:w="2088" w:type="dxa"/>
            <w:vAlign w:val="center"/>
          </w:tcPr>
          <w:p>
            <w:pPr>
              <w:jc w:val="center"/>
              <w:rPr>
                <w:rFonts w:ascii="仿宋_GB2312"/>
                <w:sz w:val="24"/>
              </w:rPr>
            </w:pPr>
            <w:r>
              <w:rPr>
                <w:rFonts w:hint="eastAsia" w:ascii="仿宋_GB2312"/>
                <w:sz w:val="24"/>
              </w:rPr>
              <w:t>调查目的</w:t>
            </w:r>
          </w:p>
        </w:tc>
        <w:tc>
          <w:tcPr>
            <w:tcW w:w="7659" w:type="dxa"/>
            <w:vAlign w:val="center"/>
          </w:tcPr>
          <w:p>
            <w:pPr>
              <w:jc w:val="left"/>
              <w:rPr>
                <w:rFonts w:ascii="仿宋_GB2312"/>
                <w:sz w:val="24"/>
              </w:rPr>
            </w:pPr>
            <w:r>
              <w:rPr>
                <w:rFonts w:hint="eastAsia" w:ascii="仿宋_GB2312"/>
                <w:sz w:val="24"/>
              </w:rPr>
              <w:t>充分了解群众对增殖放流项目的满意程度，以及关心、关注的饮用水安全突出问题，以利进一步推动我们做好饮用水安全工作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2088" w:type="dxa"/>
            <w:vAlign w:val="center"/>
          </w:tcPr>
          <w:p>
            <w:pPr>
              <w:jc w:val="center"/>
              <w:rPr>
                <w:rFonts w:ascii="仿宋_GB2312"/>
                <w:sz w:val="24"/>
              </w:rPr>
            </w:pPr>
            <w:r>
              <w:rPr>
                <w:rFonts w:hint="eastAsia" w:ascii="仿宋_GB2312"/>
                <w:sz w:val="24"/>
              </w:rPr>
              <w:t>调查对象</w:t>
            </w:r>
          </w:p>
        </w:tc>
        <w:tc>
          <w:tcPr>
            <w:tcW w:w="7659" w:type="dxa"/>
            <w:vAlign w:val="center"/>
          </w:tcPr>
          <w:p>
            <w:pPr>
              <w:rPr>
                <w:rFonts w:ascii="仿宋_GB2312"/>
                <w:sz w:val="36"/>
                <w:szCs w:val="36"/>
              </w:rPr>
            </w:pPr>
            <w:r>
              <w:rPr>
                <w:rFonts w:hint="eastAsia" w:ascii="仿宋_GB2312"/>
                <w:sz w:val="24"/>
              </w:rPr>
              <w:t>市中区周村水库增殖放流项目中周边库区群众及市区内供水范围内群众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6" w:hRule="atLeast"/>
        </w:trPr>
        <w:tc>
          <w:tcPr>
            <w:tcW w:w="2088" w:type="dxa"/>
            <w:vAlign w:val="center"/>
          </w:tcPr>
          <w:p>
            <w:pPr>
              <w:spacing w:line="360" w:lineRule="auto"/>
              <w:jc w:val="left"/>
              <w:rPr>
                <w:rFonts w:ascii="仿宋_GB2312"/>
                <w:sz w:val="24"/>
              </w:rPr>
            </w:pPr>
            <w:r>
              <w:rPr>
                <w:rFonts w:hint="eastAsia" w:ascii="仿宋_GB2312"/>
                <w:sz w:val="24"/>
              </w:rPr>
              <w:t>调查内容</w:t>
            </w:r>
          </w:p>
        </w:tc>
        <w:tc>
          <w:tcPr>
            <w:tcW w:w="7659" w:type="dxa"/>
            <w:vAlign w:val="center"/>
          </w:tcPr>
          <w:p>
            <w:pPr>
              <w:spacing w:line="360" w:lineRule="auto"/>
              <w:jc w:val="left"/>
              <w:rPr>
                <w:rFonts w:ascii="仿宋_GB2312"/>
                <w:sz w:val="24"/>
              </w:rPr>
            </w:pPr>
            <w:r>
              <w:rPr>
                <w:rFonts w:ascii="仿宋_GB2312"/>
                <w:sz w:val="24"/>
              </w:rPr>
              <w:t>1.在日常生活中，你是否关注过与饮用水安全问题相关的新闻或常识？</w:t>
            </w:r>
          </w:p>
          <w:p>
            <w:pPr>
              <w:spacing w:line="360" w:lineRule="auto"/>
              <w:jc w:val="left"/>
              <w:rPr>
                <w:rFonts w:ascii="仿宋_GB2312"/>
                <w:sz w:val="24"/>
              </w:rPr>
            </w:pPr>
            <w:r>
              <w:rPr>
                <w:rFonts w:ascii="仿宋_GB2312"/>
                <w:sz w:val="24"/>
              </w:rPr>
              <w:t>2．你了解水库增殖放流项目吗</w:t>
            </w:r>
            <w:r>
              <w:rPr>
                <w:rFonts w:hint="eastAsia" w:ascii="仿宋_GB2312"/>
                <w:sz w:val="24"/>
              </w:rPr>
              <w:t>？</w:t>
            </w:r>
          </w:p>
          <w:p>
            <w:pPr>
              <w:spacing w:line="360" w:lineRule="auto"/>
              <w:jc w:val="left"/>
              <w:rPr>
                <w:rFonts w:ascii="仿宋_GB2312"/>
                <w:sz w:val="24"/>
              </w:rPr>
            </w:pPr>
            <w:r>
              <w:rPr>
                <w:rFonts w:ascii="仿宋_GB2312"/>
                <w:sz w:val="24"/>
              </w:rPr>
              <w:t>3．增殖放流项目实施后你对市中区饮用水是否更加放心？</w:t>
            </w:r>
          </w:p>
          <w:p>
            <w:pPr>
              <w:spacing w:line="360" w:lineRule="auto"/>
              <w:jc w:val="left"/>
              <w:rPr>
                <w:rFonts w:ascii="仿宋_GB2312"/>
                <w:sz w:val="24"/>
              </w:rPr>
            </w:pPr>
            <w:r>
              <w:rPr>
                <w:rFonts w:ascii="仿宋_GB2312"/>
                <w:sz w:val="24"/>
              </w:rPr>
              <w:t>4．增殖放流后是否增加库区群众的收入？</w:t>
            </w:r>
          </w:p>
          <w:p>
            <w:pPr>
              <w:spacing w:line="360" w:lineRule="auto"/>
              <w:jc w:val="left"/>
              <w:rPr>
                <w:rFonts w:ascii="仿宋_GB2312"/>
                <w:sz w:val="24"/>
              </w:rPr>
            </w:pPr>
            <w:r>
              <w:rPr>
                <w:rFonts w:ascii="仿宋_GB2312"/>
                <w:sz w:val="24"/>
              </w:rPr>
              <w:t>5．主要从哪种途径了解水库增殖放流信息？</w:t>
            </w:r>
          </w:p>
          <w:p>
            <w:pPr>
              <w:spacing w:line="360" w:lineRule="auto"/>
              <w:jc w:val="left"/>
              <w:rPr>
                <w:rFonts w:ascii="仿宋_GB2312"/>
                <w:sz w:val="24"/>
              </w:rPr>
            </w:pPr>
            <w:r>
              <w:rPr>
                <w:rFonts w:ascii="仿宋_GB2312"/>
                <w:sz w:val="24"/>
              </w:rPr>
              <w:t>6．2018年增殖放流后是否让您感到饮用水质得到提高？</w:t>
            </w:r>
          </w:p>
          <w:p>
            <w:pPr>
              <w:spacing w:line="360" w:lineRule="auto"/>
              <w:jc w:val="left"/>
              <w:rPr>
                <w:rFonts w:ascii="仿宋_GB2312"/>
                <w:sz w:val="24"/>
              </w:rPr>
            </w:pPr>
            <w:r>
              <w:rPr>
                <w:rFonts w:ascii="仿宋_GB2312"/>
                <w:sz w:val="24"/>
              </w:rPr>
              <w:t>7．对于改善提高我市饮用水水质，你还有哪些意见及建议：</w:t>
            </w:r>
          </w:p>
          <w:p>
            <w:pPr>
              <w:spacing w:line="360" w:lineRule="auto"/>
              <w:jc w:val="left"/>
              <w:rPr>
                <w:rFonts w:ascii="仿宋_GB2312"/>
                <w:sz w:val="24"/>
              </w:rPr>
            </w:pPr>
          </w:p>
          <w:p>
            <w:pPr>
              <w:spacing w:line="360" w:lineRule="auto"/>
              <w:jc w:val="left"/>
              <w:rPr>
                <w:rFonts w:ascii="仿宋_GB2312"/>
                <w:sz w:val="24"/>
              </w:rPr>
            </w:pPr>
          </w:p>
          <w:p>
            <w:pPr>
              <w:spacing w:line="360" w:lineRule="auto"/>
              <w:jc w:val="left"/>
              <w:rPr>
                <w:rFonts w:ascii="仿宋_GB2312"/>
                <w:sz w:val="24"/>
              </w:rPr>
            </w:pPr>
          </w:p>
          <w:p>
            <w:pPr>
              <w:spacing w:line="360" w:lineRule="auto"/>
              <w:jc w:val="left"/>
              <w:rPr>
                <w:rFonts w:ascii="仿宋_GB2312"/>
                <w:sz w:val="24"/>
              </w:rPr>
            </w:pPr>
          </w:p>
        </w:tc>
      </w:tr>
    </w:tbl>
    <w:p>
      <w:pPr>
        <w:jc w:val="center"/>
        <w:rPr>
          <w:rFonts w:ascii="仿宋_GB2312"/>
          <w:b/>
          <w:color w:val="FF0000"/>
          <w:sz w:val="36"/>
          <w:szCs w:val="36"/>
        </w:rPr>
      </w:pPr>
    </w:p>
    <w:p>
      <w:pPr>
        <w:pStyle w:val="28"/>
        <w:ind w:firstLine="4150" w:firstLineChars="1250"/>
        <w:rPr>
          <w:rFonts w:ascii="黑体" w:hAnsi="黑体" w:eastAsia="黑体"/>
          <w:sz w:val="32"/>
          <w:szCs w:val="32"/>
        </w:rPr>
      </w:pPr>
    </w:p>
    <w:p>
      <w:pPr>
        <w:pStyle w:val="28"/>
        <w:ind w:firstLine="4150" w:firstLineChars="1250"/>
        <w:rPr>
          <w:rFonts w:ascii="黑体" w:hAnsi="黑体" w:eastAsia="黑体"/>
          <w:sz w:val="32"/>
          <w:szCs w:val="32"/>
        </w:rPr>
      </w:pPr>
      <w:r>
        <w:rPr>
          <w:rFonts w:hint="eastAsia" w:ascii="黑体" w:hAnsi="黑体" w:eastAsia="黑体"/>
          <w:sz w:val="32"/>
          <w:szCs w:val="32"/>
        </w:rPr>
        <w:t>问卷调查</w:t>
      </w:r>
    </w:p>
    <w:p>
      <w:pPr>
        <w:jc w:val="center"/>
        <w:rPr>
          <w:rFonts w:ascii="仿宋_GB2312"/>
          <w:b/>
          <w:color w:val="FF0000"/>
          <w:sz w:val="36"/>
          <w:szCs w:val="36"/>
        </w:rPr>
      </w:pPr>
    </w:p>
    <w:p>
      <w:pPr>
        <w:rPr>
          <w:rFonts w:ascii="仿宋_GB2312"/>
          <w:color w:val="FF0000"/>
          <w:sz w:val="24"/>
        </w:rPr>
      </w:pPr>
      <w:r>
        <w:rPr>
          <w:rFonts w:hint="eastAsia" w:ascii="仿宋_GB2312"/>
          <w:sz w:val="24"/>
        </w:rPr>
        <w:t>被评价项目：市中区周村水库增殖放流项目</w:t>
      </w:r>
      <w:r>
        <w:rPr>
          <w:rFonts w:ascii="仿宋_GB2312"/>
          <w:sz w:val="24"/>
        </w:rPr>
        <w:t xml:space="preserve"> </w:t>
      </w:r>
      <w:r>
        <w:rPr>
          <w:rFonts w:hint="eastAsia" w:ascii="仿宋_GB2312"/>
          <w:sz w:val="24"/>
        </w:rPr>
        <w:t xml:space="preserve">                       日期：2019.3</w:t>
      </w:r>
      <w:r>
        <w:rPr>
          <w:rFonts w:hint="eastAsia" w:ascii="仿宋_GB2312"/>
          <w:color w:val="FF0000"/>
          <w:sz w:val="24"/>
        </w:rPr>
        <w:t xml:space="preserve">        </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trPr>
        <w:tc>
          <w:tcPr>
            <w:tcW w:w="1980" w:type="dxa"/>
            <w:vAlign w:val="center"/>
          </w:tcPr>
          <w:p>
            <w:pPr>
              <w:jc w:val="center"/>
              <w:rPr>
                <w:rFonts w:ascii="仿宋_GB2312"/>
                <w:sz w:val="24"/>
              </w:rPr>
            </w:pPr>
            <w:r>
              <w:rPr>
                <w:rFonts w:hint="eastAsia" w:ascii="仿宋_GB2312"/>
                <w:sz w:val="24"/>
              </w:rPr>
              <w:t>发放对象</w:t>
            </w:r>
          </w:p>
        </w:tc>
        <w:tc>
          <w:tcPr>
            <w:tcW w:w="7659" w:type="dxa"/>
          </w:tcPr>
          <w:p>
            <w:pPr>
              <w:jc w:val="left"/>
              <w:rPr>
                <w:rFonts w:ascii="仿宋_GB2312"/>
                <w:b/>
                <w:sz w:val="24"/>
              </w:rPr>
            </w:pPr>
            <w:r>
              <w:rPr>
                <w:rFonts w:hint="eastAsia" w:ascii="仿宋_GB2312"/>
                <w:sz w:val="24"/>
              </w:rPr>
              <w:t>市中区周村水库增殖放流项目中周边库区群众及市区内供水范围内群众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trPr>
        <w:tc>
          <w:tcPr>
            <w:tcW w:w="1980" w:type="dxa"/>
            <w:vAlign w:val="center"/>
          </w:tcPr>
          <w:p>
            <w:pPr>
              <w:jc w:val="center"/>
              <w:rPr>
                <w:rFonts w:ascii="仿宋_GB2312"/>
                <w:sz w:val="24"/>
              </w:rPr>
            </w:pPr>
            <w:r>
              <w:rPr>
                <w:rFonts w:hint="eastAsia" w:ascii="仿宋_GB2312"/>
                <w:sz w:val="24"/>
              </w:rPr>
              <w:t>发放方式</w:t>
            </w:r>
          </w:p>
        </w:tc>
        <w:tc>
          <w:tcPr>
            <w:tcW w:w="7659" w:type="dxa"/>
          </w:tcPr>
          <w:p>
            <w:pPr>
              <w:rPr>
                <w:rFonts w:ascii="仿宋_GB2312"/>
                <w:sz w:val="24"/>
              </w:rPr>
            </w:pPr>
            <w:r>
              <w:rPr>
                <w:rFonts w:hint="eastAsia" w:ascii="仿宋_GB2312"/>
                <w:sz w:val="24"/>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trPr>
        <w:tc>
          <w:tcPr>
            <w:tcW w:w="1980" w:type="dxa"/>
            <w:vAlign w:val="center"/>
          </w:tcPr>
          <w:p>
            <w:pPr>
              <w:jc w:val="center"/>
              <w:rPr>
                <w:rFonts w:ascii="仿宋_GB2312"/>
                <w:sz w:val="24"/>
              </w:rPr>
            </w:pPr>
            <w:r>
              <w:rPr>
                <w:rFonts w:hint="eastAsia" w:ascii="仿宋_GB2312"/>
                <w:sz w:val="24"/>
              </w:rPr>
              <w:t>发放数量</w:t>
            </w:r>
          </w:p>
        </w:tc>
        <w:tc>
          <w:tcPr>
            <w:tcW w:w="7659" w:type="dxa"/>
          </w:tcPr>
          <w:p>
            <w:pPr>
              <w:jc w:val="left"/>
              <w:rPr>
                <w:rFonts w:ascii="仿宋_GB2312"/>
                <w:sz w:val="24"/>
              </w:rPr>
            </w:pPr>
            <w:r>
              <w:rPr>
                <w:rFonts w:hint="eastAsia" w:ascii="仿宋_GB2312"/>
                <w:sz w:val="24"/>
              </w:rPr>
              <w:t>根据具体其情况调查50份问卷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1980" w:type="dxa"/>
            <w:vAlign w:val="center"/>
          </w:tcPr>
          <w:p>
            <w:pPr>
              <w:jc w:val="center"/>
              <w:rPr>
                <w:rFonts w:ascii="仿宋_GB2312"/>
                <w:sz w:val="24"/>
              </w:rPr>
            </w:pPr>
            <w:r>
              <w:rPr>
                <w:rFonts w:hint="eastAsia" w:ascii="仿宋_GB2312"/>
                <w:sz w:val="24"/>
              </w:rPr>
              <w:t>收回数量</w:t>
            </w:r>
          </w:p>
        </w:tc>
        <w:tc>
          <w:tcPr>
            <w:tcW w:w="7659" w:type="dxa"/>
          </w:tcPr>
          <w:p>
            <w:pPr>
              <w:jc w:val="left"/>
              <w:rPr>
                <w:rFonts w:ascii="仿宋_GB2312"/>
                <w:sz w:val="24"/>
              </w:rPr>
            </w:pPr>
            <w:r>
              <w:rPr>
                <w:rFonts w:hint="eastAsia" w:ascii="仿宋_GB2312"/>
                <w:sz w:val="24"/>
              </w:rPr>
              <w:t>共计收回问卷50份</w:t>
            </w:r>
          </w:p>
        </w:tc>
      </w:tr>
    </w:tbl>
    <w:p>
      <w:pPr>
        <w:pStyle w:val="23"/>
        <w:ind w:firstLine="1910" w:firstLineChars="597"/>
        <w:rPr>
          <w:color w:val="FF0000"/>
        </w:rPr>
      </w:pPr>
    </w:p>
    <w:p>
      <w:pPr>
        <w:pStyle w:val="28"/>
        <w:rPr>
          <w:color w:val="FF0000"/>
        </w:rPr>
      </w:pPr>
    </w:p>
    <w:p>
      <w:pPr>
        <w:pStyle w:val="28"/>
        <w:ind w:firstLine="2778" w:firstLineChars="837"/>
        <w:rPr>
          <w:rFonts w:ascii="黑体" w:hAnsi="黑体" w:eastAsia="黑体"/>
          <w:color w:val="FF0000"/>
          <w:sz w:val="32"/>
          <w:szCs w:val="32"/>
        </w:rPr>
      </w:pPr>
    </w:p>
    <w:p>
      <w:pPr>
        <w:pStyle w:val="28"/>
        <w:ind w:firstLine="2778" w:firstLineChars="837"/>
        <w:rPr>
          <w:rFonts w:ascii="黑体" w:hAnsi="黑体" w:eastAsia="黑体"/>
          <w:sz w:val="32"/>
          <w:szCs w:val="32"/>
        </w:rPr>
      </w:pPr>
      <w:r>
        <w:rPr>
          <w:rFonts w:hint="eastAsia" w:ascii="黑体" w:hAnsi="黑体" w:eastAsia="黑体"/>
          <w:sz w:val="32"/>
          <w:szCs w:val="32"/>
        </w:rPr>
        <w:t>调查问卷设计及统计分析</w:t>
      </w:r>
    </w:p>
    <w:p>
      <w:pPr>
        <w:spacing w:line="240" w:lineRule="auto"/>
        <w:ind w:left="7056" w:hanging="7056" w:hangingChars="2800"/>
        <w:jc w:val="left"/>
        <w:rPr>
          <w:rFonts w:ascii="仿宋_GB2312"/>
          <w:sz w:val="24"/>
        </w:rPr>
      </w:pPr>
      <w:r>
        <w:rPr>
          <w:rFonts w:hint="eastAsia" w:ascii="仿宋_GB2312"/>
          <w:sz w:val="24"/>
        </w:rPr>
        <w:t>调查单位：徐州华兴会计师事务所 调查对象：市中区周村水库增殖放流项目涉及的群众                                      调查时间：2019年3月</w:t>
      </w:r>
    </w:p>
    <w:tbl>
      <w:tblPr>
        <w:tblStyle w:val="18"/>
        <w:tblW w:w="963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59"/>
        <w:gridCol w:w="4470"/>
        <w:gridCol w:w="641"/>
        <w:gridCol w:w="1052"/>
        <w:gridCol w:w="649"/>
        <w:gridCol w:w="851"/>
        <w:gridCol w:w="567"/>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1" w:hRule="atLeast"/>
        </w:trPr>
        <w:tc>
          <w:tcPr>
            <w:tcW w:w="559" w:type="dxa"/>
            <w:vMerge w:val="restart"/>
          </w:tcPr>
          <w:p>
            <w:pPr>
              <w:spacing w:line="360" w:lineRule="auto"/>
              <w:rPr>
                <w:rFonts w:ascii="仿宋_GB2312" w:cstheme="minorBidi"/>
                <w:sz w:val="24"/>
              </w:rPr>
            </w:pPr>
          </w:p>
          <w:p>
            <w:pPr>
              <w:spacing w:line="360" w:lineRule="auto"/>
              <w:rPr>
                <w:rFonts w:ascii="仿宋_GB2312" w:cstheme="minorBidi"/>
                <w:sz w:val="24"/>
              </w:rPr>
            </w:pPr>
            <w:r>
              <w:rPr>
                <w:rFonts w:hint="eastAsia" w:ascii="仿宋_GB2312" w:cstheme="minorBidi"/>
                <w:sz w:val="24"/>
              </w:rPr>
              <w:t>题号</w:t>
            </w:r>
          </w:p>
        </w:tc>
        <w:tc>
          <w:tcPr>
            <w:tcW w:w="4470" w:type="dxa"/>
            <w:vMerge w:val="restart"/>
          </w:tcPr>
          <w:p>
            <w:pPr>
              <w:spacing w:line="360" w:lineRule="auto"/>
              <w:ind w:firstLine="504" w:firstLineChars="200"/>
              <w:rPr>
                <w:rFonts w:ascii="仿宋_GB2312" w:cstheme="minorBidi"/>
                <w:sz w:val="24"/>
              </w:rPr>
            </w:pPr>
          </w:p>
          <w:p>
            <w:pPr>
              <w:spacing w:line="360" w:lineRule="auto"/>
              <w:ind w:firstLine="504" w:firstLineChars="200"/>
              <w:rPr>
                <w:rFonts w:ascii="仿宋_GB2312" w:cstheme="minorBidi"/>
                <w:sz w:val="24"/>
              </w:rPr>
            </w:pPr>
          </w:p>
          <w:p>
            <w:pPr>
              <w:spacing w:line="360" w:lineRule="auto"/>
              <w:ind w:firstLine="882" w:firstLineChars="350"/>
              <w:rPr>
                <w:rFonts w:ascii="仿宋_GB2312" w:cstheme="minorBidi"/>
                <w:sz w:val="24"/>
              </w:rPr>
            </w:pPr>
            <w:r>
              <w:rPr>
                <w:rFonts w:hint="eastAsia" w:ascii="仿宋_GB2312" w:cstheme="minorBidi"/>
                <w:sz w:val="24"/>
              </w:rPr>
              <w:t>评价内容</w:t>
            </w:r>
          </w:p>
        </w:tc>
        <w:tc>
          <w:tcPr>
            <w:tcW w:w="4610" w:type="dxa"/>
            <w:gridSpan w:val="6"/>
          </w:tcPr>
          <w:p>
            <w:pPr>
              <w:spacing w:line="360" w:lineRule="auto"/>
              <w:ind w:firstLine="1512" w:firstLineChars="600"/>
              <w:rPr>
                <w:rFonts w:ascii="仿宋_GB2312" w:cstheme="minorBidi"/>
                <w:sz w:val="24"/>
              </w:rPr>
            </w:pPr>
            <w:r>
              <w:rPr>
                <w:rFonts w:hint="eastAsia" w:ascii="仿宋_GB2312" w:cstheme="minorBidi"/>
                <w:sz w:val="24"/>
              </w:rPr>
              <w:t>评价结果统计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559" w:type="dxa"/>
            <w:vMerge w:val="continue"/>
          </w:tcPr>
          <w:p>
            <w:pPr>
              <w:spacing w:line="360" w:lineRule="auto"/>
              <w:rPr>
                <w:rFonts w:ascii="仿宋_GB2312" w:cstheme="minorBidi"/>
                <w:sz w:val="24"/>
              </w:rPr>
            </w:pPr>
          </w:p>
        </w:tc>
        <w:tc>
          <w:tcPr>
            <w:tcW w:w="4470" w:type="dxa"/>
            <w:vMerge w:val="continue"/>
          </w:tcPr>
          <w:p>
            <w:pPr>
              <w:spacing w:line="360" w:lineRule="auto"/>
              <w:rPr>
                <w:rFonts w:ascii="仿宋_GB2312" w:cstheme="minorBidi"/>
                <w:sz w:val="24"/>
              </w:rPr>
            </w:pPr>
          </w:p>
        </w:tc>
        <w:tc>
          <w:tcPr>
            <w:tcW w:w="1693" w:type="dxa"/>
            <w:gridSpan w:val="2"/>
          </w:tcPr>
          <w:p>
            <w:pPr>
              <w:spacing w:line="360" w:lineRule="auto"/>
              <w:jc w:val="center"/>
              <w:rPr>
                <w:rFonts w:ascii="仿宋_GB2312" w:cstheme="minorBidi"/>
                <w:sz w:val="24"/>
              </w:rPr>
            </w:pPr>
            <w:r>
              <w:rPr>
                <w:rFonts w:hint="eastAsia" w:ascii="仿宋_GB2312" w:cstheme="minorBidi"/>
                <w:sz w:val="24"/>
              </w:rPr>
              <w:t>满意</w:t>
            </w:r>
          </w:p>
        </w:tc>
        <w:tc>
          <w:tcPr>
            <w:tcW w:w="1500" w:type="dxa"/>
            <w:gridSpan w:val="2"/>
          </w:tcPr>
          <w:p>
            <w:pPr>
              <w:spacing w:line="360" w:lineRule="auto"/>
              <w:jc w:val="center"/>
              <w:rPr>
                <w:rFonts w:ascii="仿宋_GB2312" w:cstheme="minorBidi"/>
                <w:sz w:val="24"/>
              </w:rPr>
            </w:pPr>
            <w:r>
              <w:rPr>
                <w:rFonts w:hint="eastAsia" w:ascii="仿宋_GB2312" w:cstheme="minorBidi"/>
                <w:sz w:val="24"/>
              </w:rPr>
              <w:t>基本满意</w:t>
            </w:r>
          </w:p>
        </w:tc>
        <w:tc>
          <w:tcPr>
            <w:tcW w:w="1417" w:type="dxa"/>
            <w:gridSpan w:val="2"/>
          </w:tcPr>
          <w:p>
            <w:pPr>
              <w:spacing w:line="360" w:lineRule="auto"/>
              <w:jc w:val="center"/>
              <w:rPr>
                <w:rFonts w:ascii="仿宋_GB2312" w:cstheme="minorBidi"/>
                <w:sz w:val="24"/>
              </w:rPr>
            </w:pPr>
            <w:r>
              <w:rPr>
                <w:rFonts w:hint="eastAsia" w:ascii="仿宋_GB2312" w:cstheme="minorBidi"/>
                <w:sz w:val="24"/>
              </w:rPr>
              <w:t>不满意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0" w:hRule="atLeast"/>
        </w:trPr>
        <w:tc>
          <w:tcPr>
            <w:tcW w:w="559" w:type="dxa"/>
            <w:vMerge w:val="continue"/>
          </w:tcPr>
          <w:p>
            <w:pPr>
              <w:spacing w:line="360" w:lineRule="auto"/>
              <w:rPr>
                <w:rFonts w:ascii="仿宋_GB2312" w:cstheme="minorBidi"/>
                <w:sz w:val="24"/>
              </w:rPr>
            </w:pPr>
          </w:p>
        </w:tc>
        <w:tc>
          <w:tcPr>
            <w:tcW w:w="4470" w:type="dxa"/>
            <w:vMerge w:val="continue"/>
          </w:tcPr>
          <w:p>
            <w:pPr>
              <w:spacing w:line="360" w:lineRule="auto"/>
              <w:rPr>
                <w:rFonts w:ascii="仿宋_GB2312" w:cstheme="minorBidi"/>
                <w:sz w:val="24"/>
              </w:rPr>
            </w:pPr>
          </w:p>
        </w:tc>
        <w:tc>
          <w:tcPr>
            <w:tcW w:w="641" w:type="dxa"/>
            <w:vAlign w:val="center"/>
          </w:tcPr>
          <w:p>
            <w:pPr>
              <w:spacing w:line="360" w:lineRule="auto"/>
              <w:jc w:val="center"/>
              <w:rPr>
                <w:rFonts w:ascii="仿宋_GB2312" w:cstheme="minorBidi"/>
                <w:sz w:val="24"/>
              </w:rPr>
            </w:pPr>
            <w:r>
              <w:rPr>
                <w:rFonts w:hint="eastAsia" w:ascii="仿宋_GB2312" w:cstheme="minorBidi"/>
                <w:sz w:val="24"/>
              </w:rPr>
              <w:t>人数</w:t>
            </w:r>
          </w:p>
        </w:tc>
        <w:tc>
          <w:tcPr>
            <w:tcW w:w="1052" w:type="dxa"/>
            <w:vAlign w:val="center"/>
          </w:tcPr>
          <w:p>
            <w:pPr>
              <w:spacing w:line="360" w:lineRule="auto"/>
              <w:jc w:val="center"/>
              <w:rPr>
                <w:rFonts w:ascii="仿宋_GB2312" w:cstheme="minorBidi"/>
                <w:sz w:val="24"/>
              </w:rPr>
            </w:pPr>
            <w:r>
              <w:rPr>
                <w:rFonts w:hint="eastAsia" w:ascii="仿宋_GB2312" w:cstheme="minorBidi"/>
                <w:sz w:val="24"/>
              </w:rPr>
              <w:t>百 分比</w:t>
            </w:r>
          </w:p>
        </w:tc>
        <w:tc>
          <w:tcPr>
            <w:tcW w:w="649" w:type="dxa"/>
            <w:vAlign w:val="center"/>
          </w:tcPr>
          <w:p>
            <w:pPr>
              <w:spacing w:line="360" w:lineRule="auto"/>
              <w:jc w:val="center"/>
              <w:rPr>
                <w:rFonts w:ascii="仿宋_GB2312" w:cstheme="minorBidi"/>
                <w:sz w:val="24"/>
              </w:rPr>
            </w:pPr>
            <w:r>
              <w:rPr>
                <w:rFonts w:hint="eastAsia" w:ascii="仿宋_GB2312" w:cstheme="minorBidi"/>
                <w:sz w:val="24"/>
              </w:rPr>
              <w:t>人数</w:t>
            </w:r>
          </w:p>
        </w:tc>
        <w:tc>
          <w:tcPr>
            <w:tcW w:w="851" w:type="dxa"/>
            <w:vAlign w:val="center"/>
          </w:tcPr>
          <w:p>
            <w:pPr>
              <w:spacing w:line="360" w:lineRule="auto"/>
              <w:ind w:left="252" w:hanging="252" w:hangingChars="100"/>
              <w:rPr>
                <w:rFonts w:ascii="仿宋_GB2312" w:cstheme="minorBidi"/>
                <w:sz w:val="24"/>
              </w:rPr>
            </w:pPr>
            <w:r>
              <w:rPr>
                <w:rFonts w:hint="eastAsia" w:ascii="仿宋_GB2312" w:cstheme="minorBidi"/>
                <w:sz w:val="24"/>
              </w:rPr>
              <w:t>百分比</w:t>
            </w:r>
          </w:p>
        </w:tc>
        <w:tc>
          <w:tcPr>
            <w:tcW w:w="567" w:type="dxa"/>
            <w:vAlign w:val="center"/>
          </w:tcPr>
          <w:p>
            <w:pPr>
              <w:spacing w:line="360" w:lineRule="auto"/>
              <w:jc w:val="center"/>
              <w:rPr>
                <w:rFonts w:ascii="仿宋_GB2312" w:cstheme="minorBidi"/>
                <w:sz w:val="24"/>
              </w:rPr>
            </w:pPr>
            <w:r>
              <w:rPr>
                <w:rFonts w:hint="eastAsia" w:ascii="仿宋_GB2312" w:cstheme="minorBidi"/>
                <w:sz w:val="24"/>
              </w:rPr>
              <w:t>人数</w:t>
            </w:r>
          </w:p>
        </w:tc>
        <w:tc>
          <w:tcPr>
            <w:tcW w:w="850" w:type="dxa"/>
            <w:vAlign w:val="center"/>
          </w:tcPr>
          <w:p>
            <w:pPr>
              <w:spacing w:line="360" w:lineRule="auto"/>
              <w:jc w:val="center"/>
              <w:rPr>
                <w:rFonts w:ascii="仿宋_GB2312" w:cstheme="minorBidi"/>
                <w:sz w:val="24"/>
              </w:rPr>
            </w:pPr>
            <w:r>
              <w:rPr>
                <w:rFonts w:hint="eastAsia" w:ascii="仿宋_GB2312" w:cstheme="minorBidi"/>
                <w:sz w:val="24"/>
              </w:rPr>
              <w:t>百分比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8" w:hRule="atLeast"/>
        </w:trPr>
        <w:tc>
          <w:tcPr>
            <w:tcW w:w="559" w:type="dxa"/>
          </w:tcPr>
          <w:p>
            <w:pPr>
              <w:spacing w:line="360" w:lineRule="auto"/>
              <w:rPr>
                <w:rFonts w:ascii="仿宋_GB2312" w:cstheme="minorBidi"/>
                <w:sz w:val="24"/>
              </w:rPr>
            </w:pPr>
            <w:r>
              <w:rPr>
                <w:rFonts w:hint="eastAsia" w:ascii="仿宋_GB2312" w:cstheme="minorBidi"/>
                <w:sz w:val="24"/>
              </w:rPr>
              <w:t>1</w:t>
            </w:r>
          </w:p>
        </w:tc>
        <w:tc>
          <w:tcPr>
            <w:tcW w:w="4470" w:type="dxa"/>
          </w:tcPr>
          <w:p>
            <w:pPr>
              <w:spacing w:line="360" w:lineRule="auto"/>
              <w:jc w:val="left"/>
              <w:rPr>
                <w:rFonts w:ascii="仿宋_GB2312" w:cstheme="minorBidi"/>
                <w:sz w:val="24"/>
              </w:rPr>
            </w:pPr>
            <w:r>
              <w:rPr>
                <w:rFonts w:ascii="仿宋_GB2312" w:cstheme="minorBidi"/>
                <w:sz w:val="24"/>
              </w:rPr>
              <w:t>1.在日常生活中，你是否关注过与饮用水安全问题相关的新闻或常识？</w:t>
            </w:r>
          </w:p>
        </w:tc>
        <w:tc>
          <w:tcPr>
            <w:tcW w:w="641" w:type="dxa"/>
          </w:tcPr>
          <w:p>
            <w:pPr>
              <w:jc w:val="right"/>
              <w:rPr>
                <w:rFonts w:ascii="仿宋_GB2312" w:cstheme="minorBidi"/>
                <w:sz w:val="24"/>
              </w:rPr>
            </w:pPr>
            <w:r>
              <w:rPr>
                <w:rFonts w:hint="eastAsia" w:ascii="仿宋_GB2312" w:cstheme="minorBidi"/>
                <w:sz w:val="24"/>
              </w:rPr>
              <w:t>50</w:t>
            </w:r>
          </w:p>
        </w:tc>
        <w:tc>
          <w:tcPr>
            <w:tcW w:w="1052" w:type="dxa"/>
          </w:tcPr>
          <w:p>
            <w:pPr>
              <w:jc w:val="right"/>
              <w:rPr>
                <w:rFonts w:ascii="仿宋_GB2312" w:cstheme="minorBidi"/>
                <w:sz w:val="24"/>
              </w:rPr>
            </w:pPr>
            <w:r>
              <w:rPr>
                <w:rFonts w:hint="eastAsia" w:ascii="仿宋_GB2312" w:cstheme="minorBidi"/>
                <w:sz w:val="24"/>
              </w:rPr>
              <w:t>100%</w:t>
            </w:r>
          </w:p>
        </w:tc>
        <w:tc>
          <w:tcPr>
            <w:tcW w:w="649" w:type="dxa"/>
          </w:tcPr>
          <w:p>
            <w:pPr>
              <w:jc w:val="right"/>
              <w:rPr>
                <w:rFonts w:ascii="仿宋_GB2312" w:cstheme="minorBidi"/>
                <w:sz w:val="24"/>
              </w:rPr>
            </w:pPr>
          </w:p>
        </w:tc>
        <w:tc>
          <w:tcPr>
            <w:tcW w:w="851" w:type="dxa"/>
          </w:tcPr>
          <w:p>
            <w:pPr>
              <w:jc w:val="right"/>
              <w:rPr>
                <w:rFonts w:ascii="仿宋_GB2312" w:cstheme="minorBidi"/>
                <w:sz w:val="24"/>
              </w:rPr>
            </w:pPr>
          </w:p>
        </w:tc>
        <w:tc>
          <w:tcPr>
            <w:tcW w:w="567" w:type="dxa"/>
          </w:tcPr>
          <w:p>
            <w:pPr>
              <w:spacing w:line="360" w:lineRule="auto"/>
              <w:jc w:val="right"/>
              <w:rPr>
                <w:rFonts w:ascii="仿宋_GB2312" w:cstheme="minorBidi"/>
                <w:sz w:val="24"/>
              </w:rPr>
            </w:pPr>
          </w:p>
        </w:tc>
        <w:tc>
          <w:tcPr>
            <w:tcW w:w="850" w:type="dxa"/>
          </w:tcPr>
          <w:p>
            <w:pPr>
              <w:spacing w:line="360" w:lineRule="auto"/>
              <w:jc w:val="right"/>
              <w:rPr>
                <w:rFonts w:ascii="仿宋_GB2312"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8" w:hRule="atLeast"/>
        </w:trPr>
        <w:tc>
          <w:tcPr>
            <w:tcW w:w="559" w:type="dxa"/>
          </w:tcPr>
          <w:p>
            <w:pPr>
              <w:spacing w:line="360" w:lineRule="auto"/>
              <w:rPr>
                <w:rFonts w:ascii="仿宋_GB2312" w:cstheme="minorBidi"/>
                <w:sz w:val="24"/>
              </w:rPr>
            </w:pPr>
            <w:r>
              <w:rPr>
                <w:rFonts w:hint="eastAsia" w:ascii="仿宋_GB2312" w:cstheme="minorBidi"/>
                <w:sz w:val="24"/>
              </w:rPr>
              <w:t>2</w:t>
            </w:r>
          </w:p>
        </w:tc>
        <w:tc>
          <w:tcPr>
            <w:tcW w:w="4470" w:type="dxa"/>
          </w:tcPr>
          <w:p>
            <w:pPr>
              <w:spacing w:line="360" w:lineRule="auto"/>
              <w:jc w:val="left"/>
              <w:rPr>
                <w:rFonts w:ascii="仿宋_GB2312" w:cstheme="minorBidi"/>
                <w:sz w:val="24"/>
              </w:rPr>
            </w:pPr>
            <w:r>
              <w:rPr>
                <w:rFonts w:hint="eastAsia" w:ascii="仿宋_GB2312" w:cstheme="minorBidi"/>
                <w:sz w:val="24"/>
              </w:rPr>
              <w:t>你了解水库增殖放流项目吗？？</w:t>
            </w:r>
          </w:p>
        </w:tc>
        <w:tc>
          <w:tcPr>
            <w:tcW w:w="641" w:type="dxa"/>
          </w:tcPr>
          <w:p>
            <w:pPr>
              <w:jc w:val="right"/>
              <w:rPr>
                <w:rFonts w:ascii="仿宋_GB2312" w:cstheme="minorBidi"/>
                <w:sz w:val="24"/>
              </w:rPr>
            </w:pPr>
            <w:r>
              <w:rPr>
                <w:rFonts w:hint="eastAsia" w:ascii="仿宋_GB2312" w:cstheme="minorBidi"/>
                <w:sz w:val="24"/>
              </w:rPr>
              <w:t>40</w:t>
            </w:r>
          </w:p>
        </w:tc>
        <w:tc>
          <w:tcPr>
            <w:tcW w:w="1052" w:type="dxa"/>
          </w:tcPr>
          <w:p>
            <w:pPr>
              <w:jc w:val="right"/>
              <w:rPr>
                <w:rFonts w:ascii="仿宋_GB2312" w:cstheme="minorBidi"/>
                <w:sz w:val="24"/>
              </w:rPr>
            </w:pPr>
            <w:r>
              <w:rPr>
                <w:rFonts w:hint="eastAsia" w:ascii="仿宋_GB2312" w:cstheme="minorBidi"/>
                <w:sz w:val="24"/>
              </w:rPr>
              <w:t>80%</w:t>
            </w:r>
          </w:p>
        </w:tc>
        <w:tc>
          <w:tcPr>
            <w:tcW w:w="649" w:type="dxa"/>
          </w:tcPr>
          <w:p>
            <w:pPr>
              <w:jc w:val="right"/>
              <w:rPr>
                <w:rFonts w:ascii="仿宋_GB2312" w:cstheme="minorBidi"/>
                <w:sz w:val="24"/>
              </w:rPr>
            </w:pPr>
            <w:r>
              <w:rPr>
                <w:rFonts w:hint="eastAsia" w:ascii="仿宋_GB2312" w:cstheme="minorBidi"/>
                <w:sz w:val="24"/>
              </w:rPr>
              <w:t>10</w:t>
            </w:r>
          </w:p>
        </w:tc>
        <w:tc>
          <w:tcPr>
            <w:tcW w:w="851" w:type="dxa"/>
          </w:tcPr>
          <w:p>
            <w:pPr>
              <w:jc w:val="right"/>
              <w:rPr>
                <w:rFonts w:ascii="仿宋_GB2312" w:cstheme="minorBidi"/>
                <w:sz w:val="24"/>
              </w:rPr>
            </w:pPr>
            <w:r>
              <w:rPr>
                <w:rFonts w:hint="eastAsia" w:ascii="仿宋_GB2312" w:cstheme="minorBidi"/>
                <w:sz w:val="24"/>
              </w:rPr>
              <w:t>20%</w:t>
            </w:r>
          </w:p>
        </w:tc>
        <w:tc>
          <w:tcPr>
            <w:tcW w:w="567" w:type="dxa"/>
          </w:tcPr>
          <w:p>
            <w:pPr>
              <w:spacing w:line="360" w:lineRule="auto"/>
              <w:jc w:val="right"/>
              <w:rPr>
                <w:rFonts w:ascii="仿宋_GB2312" w:cstheme="minorBidi"/>
                <w:sz w:val="24"/>
              </w:rPr>
            </w:pPr>
          </w:p>
        </w:tc>
        <w:tc>
          <w:tcPr>
            <w:tcW w:w="850" w:type="dxa"/>
          </w:tcPr>
          <w:p>
            <w:pPr>
              <w:spacing w:line="360" w:lineRule="auto"/>
              <w:jc w:val="right"/>
              <w:rPr>
                <w:rFonts w:ascii="仿宋_GB2312"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2" w:hRule="atLeast"/>
        </w:trPr>
        <w:tc>
          <w:tcPr>
            <w:tcW w:w="559" w:type="dxa"/>
          </w:tcPr>
          <w:p>
            <w:pPr>
              <w:spacing w:line="360" w:lineRule="auto"/>
              <w:rPr>
                <w:rFonts w:ascii="仿宋_GB2312" w:cstheme="minorBidi"/>
                <w:sz w:val="24"/>
              </w:rPr>
            </w:pPr>
            <w:r>
              <w:rPr>
                <w:rFonts w:hint="eastAsia" w:ascii="仿宋_GB2312" w:cstheme="minorBidi"/>
                <w:sz w:val="24"/>
              </w:rPr>
              <w:t>3</w:t>
            </w:r>
          </w:p>
        </w:tc>
        <w:tc>
          <w:tcPr>
            <w:tcW w:w="4470" w:type="dxa"/>
          </w:tcPr>
          <w:p>
            <w:pPr>
              <w:spacing w:line="360" w:lineRule="auto"/>
              <w:jc w:val="left"/>
              <w:rPr>
                <w:rFonts w:ascii="仿宋_GB2312" w:cstheme="minorBidi"/>
                <w:sz w:val="24"/>
              </w:rPr>
            </w:pPr>
            <w:r>
              <w:rPr>
                <w:rFonts w:hint="eastAsia" w:ascii="仿宋_GB2312" w:cstheme="minorBidi"/>
                <w:sz w:val="24"/>
              </w:rPr>
              <w:t>增殖放流项目实施后你对市中区饮用水是否更加放心？</w:t>
            </w:r>
          </w:p>
        </w:tc>
        <w:tc>
          <w:tcPr>
            <w:tcW w:w="641" w:type="dxa"/>
          </w:tcPr>
          <w:p>
            <w:pPr>
              <w:jc w:val="right"/>
              <w:rPr>
                <w:rFonts w:ascii="仿宋_GB2312" w:cstheme="minorBidi"/>
                <w:sz w:val="24"/>
              </w:rPr>
            </w:pPr>
            <w:r>
              <w:rPr>
                <w:rFonts w:hint="eastAsia" w:ascii="仿宋_GB2312" w:cstheme="minorBidi"/>
                <w:sz w:val="24"/>
              </w:rPr>
              <w:t>40</w:t>
            </w:r>
          </w:p>
        </w:tc>
        <w:tc>
          <w:tcPr>
            <w:tcW w:w="1052" w:type="dxa"/>
          </w:tcPr>
          <w:p>
            <w:pPr>
              <w:jc w:val="right"/>
              <w:rPr>
                <w:rFonts w:ascii="仿宋_GB2312" w:cstheme="minorBidi"/>
                <w:sz w:val="24"/>
              </w:rPr>
            </w:pPr>
            <w:r>
              <w:rPr>
                <w:rFonts w:hint="eastAsia" w:ascii="仿宋_GB2312" w:cstheme="minorBidi"/>
                <w:sz w:val="24"/>
              </w:rPr>
              <w:t>80%</w:t>
            </w:r>
          </w:p>
        </w:tc>
        <w:tc>
          <w:tcPr>
            <w:tcW w:w="649" w:type="dxa"/>
          </w:tcPr>
          <w:p>
            <w:pPr>
              <w:jc w:val="right"/>
              <w:rPr>
                <w:rFonts w:ascii="仿宋_GB2312" w:cstheme="minorBidi"/>
                <w:sz w:val="24"/>
              </w:rPr>
            </w:pPr>
            <w:r>
              <w:rPr>
                <w:rFonts w:hint="eastAsia" w:ascii="仿宋_GB2312" w:cstheme="minorBidi"/>
                <w:sz w:val="24"/>
              </w:rPr>
              <w:t>10</w:t>
            </w:r>
          </w:p>
        </w:tc>
        <w:tc>
          <w:tcPr>
            <w:tcW w:w="851" w:type="dxa"/>
          </w:tcPr>
          <w:p>
            <w:pPr>
              <w:jc w:val="right"/>
              <w:rPr>
                <w:rFonts w:ascii="仿宋_GB2312" w:cstheme="minorBidi"/>
                <w:sz w:val="24"/>
              </w:rPr>
            </w:pPr>
            <w:r>
              <w:rPr>
                <w:rFonts w:hint="eastAsia" w:ascii="仿宋_GB2312" w:cstheme="minorBidi"/>
                <w:sz w:val="24"/>
              </w:rPr>
              <w:t>20%</w:t>
            </w:r>
          </w:p>
        </w:tc>
        <w:tc>
          <w:tcPr>
            <w:tcW w:w="567" w:type="dxa"/>
          </w:tcPr>
          <w:p>
            <w:pPr>
              <w:spacing w:line="360" w:lineRule="auto"/>
              <w:jc w:val="right"/>
              <w:rPr>
                <w:rFonts w:ascii="仿宋_GB2312" w:cstheme="minorBidi"/>
                <w:sz w:val="24"/>
              </w:rPr>
            </w:pPr>
          </w:p>
        </w:tc>
        <w:tc>
          <w:tcPr>
            <w:tcW w:w="850" w:type="dxa"/>
          </w:tcPr>
          <w:p>
            <w:pPr>
              <w:spacing w:line="360" w:lineRule="auto"/>
              <w:jc w:val="right"/>
              <w:rPr>
                <w:rFonts w:ascii="仿宋_GB2312"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8" w:hRule="atLeast"/>
        </w:trPr>
        <w:tc>
          <w:tcPr>
            <w:tcW w:w="559" w:type="dxa"/>
          </w:tcPr>
          <w:p>
            <w:pPr>
              <w:spacing w:line="360" w:lineRule="auto"/>
              <w:rPr>
                <w:rFonts w:ascii="仿宋_GB2312" w:cstheme="minorBidi"/>
                <w:sz w:val="24"/>
              </w:rPr>
            </w:pPr>
            <w:r>
              <w:rPr>
                <w:rFonts w:hint="eastAsia" w:ascii="仿宋_GB2312" w:cstheme="minorBidi"/>
                <w:sz w:val="24"/>
              </w:rPr>
              <w:t>4</w:t>
            </w:r>
          </w:p>
        </w:tc>
        <w:tc>
          <w:tcPr>
            <w:tcW w:w="4470" w:type="dxa"/>
          </w:tcPr>
          <w:p>
            <w:pPr>
              <w:spacing w:line="360" w:lineRule="auto"/>
              <w:jc w:val="left"/>
              <w:rPr>
                <w:rFonts w:ascii="仿宋_GB2312" w:cstheme="minorBidi"/>
                <w:sz w:val="24"/>
              </w:rPr>
            </w:pPr>
            <w:r>
              <w:rPr>
                <w:rFonts w:hint="eastAsia" w:ascii="仿宋_GB2312" w:cstheme="minorBidi"/>
                <w:sz w:val="24"/>
              </w:rPr>
              <w:t>增殖放流后是否增加库区群众的收入？</w:t>
            </w:r>
          </w:p>
        </w:tc>
        <w:tc>
          <w:tcPr>
            <w:tcW w:w="641" w:type="dxa"/>
          </w:tcPr>
          <w:p>
            <w:pPr>
              <w:jc w:val="right"/>
              <w:rPr>
                <w:rFonts w:ascii="仿宋_GB2312" w:cstheme="minorBidi"/>
                <w:sz w:val="24"/>
              </w:rPr>
            </w:pPr>
            <w:r>
              <w:rPr>
                <w:rFonts w:hint="eastAsia" w:ascii="仿宋_GB2312" w:cstheme="minorBidi"/>
                <w:sz w:val="24"/>
              </w:rPr>
              <w:t>40</w:t>
            </w:r>
          </w:p>
        </w:tc>
        <w:tc>
          <w:tcPr>
            <w:tcW w:w="1052" w:type="dxa"/>
          </w:tcPr>
          <w:p>
            <w:pPr>
              <w:jc w:val="right"/>
              <w:rPr>
                <w:rFonts w:ascii="仿宋_GB2312" w:cstheme="minorBidi"/>
                <w:sz w:val="24"/>
              </w:rPr>
            </w:pPr>
            <w:r>
              <w:rPr>
                <w:rFonts w:hint="eastAsia" w:ascii="仿宋_GB2312" w:cstheme="minorBidi"/>
                <w:sz w:val="24"/>
              </w:rPr>
              <w:t>80%</w:t>
            </w:r>
          </w:p>
        </w:tc>
        <w:tc>
          <w:tcPr>
            <w:tcW w:w="649" w:type="dxa"/>
          </w:tcPr>
          <w:p>
            <w:pPr>
              <w:jc w:val="right"/>
              <w:rPr>
                <w:rFonts w:ascii="仿宋_GB2312" w:cstheme="minorBidi"/>
                <w:sz w:val="24"/>
              </w:rPr>
            </w:pPr>
            <w:r>
              <w:rPr>
                <w:rFonts w:hint="eastAsia" w:ascii="仿宋_GB2312" w:cstheme="minorBidi"/>
                <w:sz w:val="24"/>
              </w:rPr>
              <w:t>10</w:t>
            </w:r>
          </w:p>
        </w:tc>
        <w:tc>
          <w:tcPr>
            <w:tcW w:w="851" w:type="dxa"/>
          </w:tcPr>
          <w:p>
            <w:pPr>
              <w:jc w:val="right"/>
              <w:rPr>
                <w:rFonts w:ascii="仿宋_GB2312" w:cstheme="minorBidi"/>
                <w:sz w:val="24"/>
              </w:rPr>
            </w:pPr>
            <w:r>
              <w:rPr>
                <w:rFonts w:hint="eastAsia" w:ascii="仿宋_GB2312" w:cstheme="minorBidi"/>
                <w:sz w:val="24"/>
              </w:rPr>
              <w:t>20%</w:t>
            </w:r>
          </w:p>
        </w:tc>
        <w:tc>
          <w:tcPr>
            <w:tcW w:w="567" w:type="dxa"/>
          </w:tcPr>
          <w:p>
            <w:pPr>
              <w:spacing w:line="360" w:lineRule="auto"/>
              <w:jc w:val="right"/>
              <w:rPr>
                <w:rFonts w:ascii="仿宋_GB2312" w:cstheme="minorBidi"/>
                <w:sz w:val="24"/>
              </w:rPr>
            </w:pPr>
          </w:p>
        </w:tc>
        <w:tc>
          <w:tcPr>
            <w:tcW w:w="850" w:type="dxa"/>
          </w:tcPr>
          <w:p>
            <w:pPr>
              <w:spacing w:line="360" w:lineRule="auto"/>
              <w:jc w:val="right"/>
              <w:rPr>
                <w:rFonts w:ascii="仿宋_GB2312"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8" w:hRule="atLeast"/>
        </w:trPr>
        <w:tc>
          <w:tcPr>
            <w:tcW w:w="559" w:type="dxa"/>
          </w:tcPr>
          <w:p>
            <w:pPr>
              <w:spacing w:line="360" w:lineRule="auto"/>
              <w:rPr>
                <w:rFonts w:ascii="仿宋_GB2312" w:cstheme="minorBidi"/>
                <w:sz w:val="24"/>
              </w:rPr>
            </w:pPr>
          </w:p>
          <w:p>
            <w:pPr>
              <w:spacing w:line="360" w:lineRule="auto"/>
              <w:rPr>
                <w:rFonts w:ascii="仿宋_GB2312" w:cstheme="minorBidi"/>
                <w:sz w:val="24"/>
              </w:rPr>
            </w:pPr>
            <w:r>
              <w:rPr>
                <w:rFonts w:hint="eastAsia" w:ascii="仿宋_GB2312" w:cstheme="minorBidi"/>
                <w:sz w:val="24"/>
              </w:rPr>
              <w:t>5</w:t>
            </w:r>
          </w:p>
        </w:tc>
        <w:tc>
          <w:tcPr>
            <w:tcW w:w="4470" w:type="dxa"/>
          </w:tcPr>
          <w:p>
            <w:pPr>
              <w:spacing w:line="360" w:lineRule="auto"/>
              <w:jc w:val="left"/>
              <w:rPr>
                <w:rFonts w:ascii="仿宋_GB2312" w:cstheme="minorBidi"/>
                <w:sz w:val="24"/>
              </w:rPr>
            </w:pPr>
            <w:r>
              <w:rPr>
                <w:rFonts w:hint="eastAsia" w:ascii="仿宋_GB2312" w:cstheme="minorBidi"/>
                <w:sz w:val="24"/>
              </w:rPr>
              <w:t>主要从哪种途径了解水库增殖放流信息？</w:t>
            </w:r>
          </w:p>
        </w:tc>
        <w:tc>
          <w:tcPr>
            <w:tcW w:w="641" w:type="dxa"/>
          </w:tcPr>
          <w:p>
            <w:pPr>
              <w:jc w:val="right"/>
              <w:rPr>
                <w:rFonts w:ascii="仿宋_GB2312" w:cstheme="minorBidi"/>
                <w:sz w:val="24"/>
              </w:rPr>
            </w:pPr>
            <w:r>
              <w:rPr>
                <w:rFonts w:hint="eastAsia" w:ascii="仿宋_GB2312" w:cstheme="minorBidi"/>
                <w:sz w:val="24"/>
              </w:rPr>
              <w:t>30</w:t>
            </w:r>
          </w:p>
        </w:tc>
        <w:tc>
          <w:tcPr>
            <w:tcW w:w="1052" w:type="dxa"/>
          </w:tcPr>
          <w:p>
            <w:pPr>
              <w:jc w:val="right"/>
              <w:rPr>
                <w:rFonts w:ascii="仿宋_GB2312" w:cstheme="minorBidi"/>
                <w:sz w:val="24"/>
              </w:rPr>
            </w:pPr>
            <w:r>
              <w:rPr>
                <w:rFonts w:hint="eastAsia" w:ascii="仿宋_GB2312" w:cstheme="minorBidi"/>
                <w:sz w:val="24"/>
              </w:rPr>
              <w:t>60%</w:t>
            </w:r>
          </w:p>
        </w:tc>
        <w:tc>
          <w:tcPr>
            <w:tcW w:w="649" w:type="dxa"/>
          </w:tcPr>
          <w:p>
            <w:pPr>
              <w:jc w:val="right"/>
              <w:rPr>
                <w:rFonts w:ascii="仿宋_GB2312" w:cstheme="minorBidi"/>
                <w:sz w:val="24"/>
              </w:rPr>
            </w:pPr>
            <w:r>
              <w:rPr>
                <w:rFonts w:hint="eastAsia" w:ascii="仿宋_GB2312" w:cstheme="minorBidi"/>
                <w:sz w:val="24"/>
              </w:rPr>
              <w:t>20</w:t>
            </w:r>
          </w:p>
        </w:tc>
        <w:tc>
          <w:tcPr>
            <w:tcW w:w="851" w:type="dxa"/>
          </w:tcPr>
          <w:p>
            <w:pPr>
              <w:jc w:val="right"/>
              <w:rPr>
                <w:rFonts w:ascii="仿宋_GB2312" w:cstheme="minorBidi"/>
                <w:sz w:val="24"/>
              </w:rPr>
            </w:pPr>
            <w:r>
              <w:rPr>
                <w:rFonts w:hint="eastAsia" w:ascii="仿宋_GB2312" w:cstheme="minorBidi"/>
                <w:sz w:val="24"/>
              </w:rPr>
              <w:t>40%</w:t>
            </w:r>
          </w:p>
        </w:tc>
        <w:tc>
          <w:tcPr>
            <w:tcW w:w="567" w:type="dxa"/>
          </w:tcPr>
          <w:p>
            <w:pPr>
              <w:spacing w:line="360" w:lineRule="auto"/>
              <w:jc w:val="right"/>
              <w:rPr>
                <w:rFonts w:ascii="仿宋_GB2312" w:cstheme="minorBidi"/>
                <w:sz w:val="24"/>
              </w:rPr>
            </w:pPr>
          </w:p>
        </w:tc>
        <w:tc>
          <w:tcPr>
            <w:tcW w:w="850" w:type="dxa"/>
          </w:tcPr>
          <w:p>
            <w:pPr>
              <w:spacing w:line="360" w:lineRule="auto"/>
              <w:jc w:val="right"/>
              <w:rPr>
                <w:rFonts w:ascii="仿宋_GB2312"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8" w:hRule="atLeast"/>
        </w:trPr>
        <w:tc>
          <w:tcPr>
            <w:tcW w:w="559" w:type="dxa"/>
          </w:tcPr>
          <w:p>
            <w:pPr>
              <w:spacing w:line="360" w:lineRule="auto"/>
              <w:rPr>
                <w:rFonts w:ascii="仿宋_GB2312" w:cstheme="minorBidi"/>
                <w:sz w:val="24"/>
              </w:rPr>
            </w:pPr>
          </w:p>
          <w:p>
            <w:pPr>
              <w:spacing w:line="360" w:lineRule="auto"/>
              <w:rPr>
                <w:rFonts w:ascii="仿宋_GB2312" w:cstheme="minorBidi"/>
                <w:sz w:val="24"/>
              </w:rPr>
            </w:pPr>
            <w:r>
              <w:rPr>
                <w:rFonts w:hint="eastAsia" w:ascii="仿宋_GB2312" w:cstheme="minorBidi"/>
                <w:sz w:val="24"/>
              </w:rPr>
              <w:t>6</w:t>
            </w:r>
          </w:p>
        </w:tc>
        <w:tc>
          <w:tcPr>
            <w:tcW w:w="4470" w:type="dxa"/>
          </w:tcPr>
          <w:p>
            <w:pPr>
              <w:spacing w:line="360" w:lineRule="auto"/>
              <w:jc w:val="left"/>
              <w:rPr>
                <w:rFonts w:ascii="仿宋_GB2312" w:cstheme="minorBidi"/>
                <w:sz w:val="24"/>
              </w:rPr>
            </w:pPr>
            <w:r>
              <w:rPr>
                <w:rFonts w:ascii="仿宋_GB2312" w:cstheme="minorBidi"/>
                <w:sz w:val="24"/>
              </w:rPr>
              <w:t>2018年增殖放流后是否让您感到饮用水质得到提高？</w:t>
            </w:r>
          </w:p>
        </w:tc>
        <w:tc>
          <w:tcPr>
            <w:tcW w:w="641" w:type="dxa"/>
          </w:tcPr>
          <w:p>
            <w:pPr>
              <w:jc w:val="right"/>
              <w:rPr>
                <w:rFonts w:ascii="仿宋_GB2312" w:cstheme="minorBidi"/>
                <w:sz w:val="24"/>
              </w:rPr>
            </w:pPr>
            <w:r>
              <w:rPr>
                <w:rFonts w:hint="eastAsia" w:ascii="仿宋_GB2312" w:cstheme="minorBidi"/>
                <w:sz w:val="24"/>
              </w:rPr>
              <w:t>40</w:t>
            </w:r>
          </w:p>
        </w:tc>
        <w:tc>
          <w:tcPr>
            <w:tcW w:w="1052" w:type="dxa"/>
          </w:tcPr>
          <w:p>
            <w:pPr>
              <w:jc w:val="right"/>
              <w:rPr>
                <w:rFonts w:ascii="仿宋_GB2312" w:cstheme="minorBidi"/>
                <w:sz w:val="24"/>
              </w:rPr>
            </w:pPr>
            <w:r>
              <w:rPr>
                <w:rFonts w:hint="eastAsia" w:ascii="仿宋_GB2312" w:cstheme="minorBidi"/>
                <w:sz w:val="24"/>
              </w:rPr>
              <w:t>80%</w:t>
            </w:r>
          </w:p>
        </w:tc>
        <w:tc>
          <w:tcPr>
            <w:tcW w:w="649" w:type="dxa"/>
          </w:tcPr>
          <w:p>
            <w:pPr>
              <w:jc w:val="right"/>
              <w:rPr>
                <w:rFonts w:ascii="仿宋_GB2312" w:cstheme="minorBidi"/>
                <w:sz w:val="24"/>
              </w:rPr>
            </w:pPr>
            <w:r>
              <w:rPr>
                <w:rFonts w:hint="eastAsia" w:ascii="仿宋_GB2312" w:cstheme="minorBidi"/>
                <w:sz w:val="24"/>
              </w:rPr>
              <w:t>10</w:t>
            </w:r>
          </w:p>
        </w:tc>
        <w:tc>
          <w:tcPr>
            <w:tcW w:w="851" w:type="dxa"/>
          </w:tcPr>
          <w:p>
            <w:pPr>
              <w:jc w:val="right"/>
              <w:rPr>
                <w:rFonts w:ascii="仿宋_GB2312" w:cstheme="minorBidi"/>
                <w:sz w:val="24"/>
              </w:rPr>
            </w:pPr>
            <w:r>
              <w:rPr>
                <w:rFonts w:hint="eastAsia" w:ascii="仿宋_GB2312" w:cstheme="minorBidi"/>
                <w:sz w:val="24"/>
              </w:rPr>
              <w:t>20%</w:t>
            </w:r>
          </w:p>
        </w:tc>
        <w:tc>
          <w:tcPr>
            <w:tcW w:w="567" w:type="dxa"/>
          </w:tcPr>
          <w:p>
            <w:pPr>
              <w:spacing w:line="360" w:lineRule="auto"/>
              <w:jc w:val="right"/>
              <w:rPr>
                <w:rFonts w:ascii="仿宋_GB2312" w:cstheme="minorBidi"/>
                <w:sz w:val="24"/>
              </w:rPr>
            </w:pPr>
          </w:p>
        </w:tc>
        <w:tc>
          <w:tcPr>
            <w:tcW w:w="850" w:type="dxa"/>
          </w:tcPr>
          <w:p>
            <w:pPr>
              <w:spacing w:line="360" w:lineRule="auto"/>
              <w:jc w:val="right"/>
              <w:rPr>
                <w:rFonts w:ascii="仿宋_GB2312"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08" w:hRule="atLeast"/>
        </w:trPr>
        <w:tc>
          <w:tcPr>
            <w:tcW w:w="9639" w:type="dxa"/>
            <w:gridSpan w:val="8"/>
          </w:tcPr>
          <w:p>
            <w:pPr>
              <w:spacing w:line="360" w:lineRule="auto"/>
              <w:rPr>
                <w:rFonts w:ascii="仿宋_GB2312" w:cstheme="minorBidi"/>
                <w:sz w:val="24"/>
              </w:rPr>
            </w:pPr>
            <w:r>
              <w:rPr>
                <w:rFonts w:hint="eastAsia" w:ascii="仿宋_GB2312" w:cstheme="minorBidi"/>
                <w:sz w:val="24"/>
              </w:rPr>
              <w:t>调查情况分析：</w:t>
            </w:r>
          </w:p>
          <w:p>
            <w:pPr>
              <w:pStyle w:val="42"/>
              <w:numPr>
                <w:ilvl w:val="0"/>
                <w:numId w:val="4"/>
              </w:numPr>
              <w:spacing w:line="360" w:lineRule="auto"/>
              <w:ind w:firstLineChars="0"/>
              <w:rPr>
                <w:rFonts w:ascii="仿宋_GB2312" w:hAnsi="宋体" w:eastAsia="仿宋_GB2312" w:cstheme="minorBidi"/>
                <w:sz w:val="24"/>
              </w:rPr>
            </w:pPr>
            <w:r>
              <w:rPr>
                <w:rFonts w:hint="eastAsia" w:ascii="仿宋_GB2312" w:hAnsi="宋体" w:eastAsia="仿宋_GB2312" w:cstheme="minorBidi"/>
                <w:sz w:val="24"/>
              </w:rPr>
              <w:t>本次调查问卷50份，共计收回50份，有效50份。</w:t>
            </w:r>
          </w:p>
          <w:p>
            <w:pPr>
              <w:pStyle w:val="42"/>
              <w:numPr>
                <w:ilvl w:val="0"/>
                <w:numId w:val="4"/>
              </w:numPr>
              <w:spacing w:line="360" w:lineRule="auto"/>
              <w:ind w:firstLineChars="0"/>
              <w:rPr>
                <w:rFonts w:ascii="仿宋_GB2312" w:hAnsi="宋体" w:eastAsia="仿宋_GB2312" w:cstheme="minorBidi"/>
                <w:sz w:val="24"/>
              </w:rPr>
            </w:pPr>
            <w:r>
              <w:rPr>
                <w:rFonts w:hint="eastAsia" w:ascii="仿宋_GB2312" w:hAnsi="宋体" w:eastAsia="仿宋_GB2312" w:cstheme="minorBidi"/>
                <w:sz w:val="24"/>
              </w:rPr>
              <w:t>问卷结果满意度统计：收回50份，评价满意率为80%。</w:t>
            </w:r>
          </w:p>
        </w:tc>
      </w:tr>
    </w:tbl>
    <w:p>
      <w:pPr>
        <w:pStyle w:val="23"/>
        <w:ind w:firstLine="0" w:firstLineChars="0"/>
        <w:rPr>
          <w:color w:val="FF0000"/>
        </w:rPr>
        <w:sectPr>
          <w:pgSz w:w="11906" w:h="16838"/>
          <w:pgMar w:top="1440" w:right="1134" w:bottom="1440" w:left="1134" w:header="851" w:footer="992" w:gutter="0"/>
          <w:cols w:space="425" w:num="1"/>
          <w:docGrid w:linePitch="408" w:charSpace="0"/>
        </w:sectPr>
      </w:pPr>
      <w:bookmarkStart w:id="107" w:name="_Toc491438423"/>
    </w:p>
    <w:p>
      <w:pPr>
        <w:pStyle w:val="23"/>
        <w:ind w:firstLine="0" w:firstLineChars="0"/>
        <w:rPr>
          <w:rFonts w:hAnsi="黑体"/>
          <w:szCs w:val="32"/>
        </w:rPr>
      </w:pPr>
      <w:r>
        <w:rPr>
          <w:rFonts w:hint="eastAsia"/>
        </w:rPr>
        <w:t>附件3</w:t>
      </w:r>
      <w:bookmarkEnd w:id="107"/>
      <w:r>
        <w:rPr>
          <w:rFonts w:hint="eastAsia"/>
        </w:rPr>
        <w:t xml:space="preserve">   </w:t>
      </w:r>
      <w:r>
        <w:rPr>
          <w:rFonts w:hint="eastAsia"/>
          <w:color w:val="FF0000"/>
        </w:rPr>
        <w:t xml:space="preserve">               </w:t>
      </w:r>
      <w:r>
        <w:rPr>
          <w:rFonts w:hint="eastAsia" w:hAnsi="黑体"/>
          <w:szCs w:val="32"/>
        </w:rPr>
        <w:t>周村水库增殖放流项目绩效评价得分表</w:t>
      </w:r>
    </w:p>
    <w:tbl>
      <w:tblPr>
        <w:tblStyle w:val="18"/>
        <w:tblW w:w="14460"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709"/>
        <w:gridCol w:w="709"/>
        <w:gridCol w:w="1417"/>
        <w:gridCol w:w="1985"/>
        <w:gridCol w:w="2693"/>
        <w:gridCol w:w="2552"/>
        <w:gridCol w:w="1275"/>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1" w:hRule="atLeast"/>
        </w:trPr>
        <w:tc>
          <w:tcPr>
            <w:tcW w:w="993" w:type="dxa"/>
            <w:vAlign w:val="center"/>
          </w:tcPr>
          <w:p>
            <w:pPr>
              <w:spacing w:line="240" w:lineRule="auto"/>
              <w:jc w:val="center"/>
              <w:rPr>
                <w:rFonts w:eastAsia="宋体" w:cstheme="minorBidi"/>
                <w:b/>
                <w:sz w:val="18"/>
                <w:szCs w:val="18"/>
              </w:rPr>
            </w:pPr>
            <w:r>
              <w:rPr>
                <w:rFonts w:hint="eastAsia" w:eastAsia="宋体" w:cstheme="minorBidi"/>
                <w:b/>
                <w:sz w:val="18"/>
                <w:szCs w:val="18"/>
              </w:rPr>
              <w:t>一级</w:t>
            </w:r>
            <w:r>
              <w:rPr>
                <w:rFonts w:hint="eastAsia" w:eastAsia="宋体" w:cstheme="minorBidi"/>
                <w:b/>
                <w:sz w:val="18"/>
                <w:szCs w:val="18"/>
              </w:rPr>
              <w:br w:type="textWrapping"/>
            </w:r>
            <w:r>
              <w:rPr>
                <w:rFonts w:hint="eastAsia" w:eastAsia="宋体" w:cstheme="minorBidi"/>
                <w:b/>
                <w:sz w:val="18"/>
                <w:szCs w:val="18"/>
              </w:rPr>
              <w:t>指标</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权重</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二级</w:t>
            </w:r>
            <w:r>
              <w:rPr>
                <w:rFonts w:hint="eastAsia" w:eastAsia="宋体" w:cstheme="minorBidi"/>
                <w:b/>
                <w:sz w:val="18"/>
                <w:szCs w:val="18"/>
              </w:rPr>
              <w:br w:type="textWrapping"/>
            </w:r>
            <w:r>
              <w:rPr>
                <w:rFonts w:hint="eastAsia" w:eastAsia="宋体" w:cstheme="minorBidi"/>
                <w:b/>
                <w:sz w:val="18"/>
                <w:szCs w:val="18"/>
              </w:rPr>
              <w:t>指标</w:t>
            </w:r>
          </w:p>
        </w:tc>
        <w:tc>
          <w:tcPr>
            <w:tcW w:w="1417" w:type="dxa"/>
            <w:vAlign w:val="center"/>
          </w:tcPr>
          <w:p>
            <w:pPr>
              <w:spacing w:line="240" w:lineRule="auto"/>
              <w:jc w:val="center"/>
              <w:rPr>
                <w:rFonts w:eastAsia="宋体" w:cstheme="minorBidi"/>
                <w:b/>
                <w:sz w:val="18"/>
                <w:szCs w:val="18"/>
              </w:rPr>
            </w:pPr>
            <w:r>
              <w:rPr>
                <w:rFonts w:hint="eastAsia" w:eastAsia="宋体" w:cstheme="minorBidi"/>
                <w:b/>
                <w:sz w:val="18"/>
                <w:szCs w:val="18"/>
              </w:rPr>
              <w:t>三级指标</w:t>
            </w:r>
          </w:p>
        </w:tc>
        <w:tc>
          <w:tcPr>
            <w:tcW w:w="1985" w:type="dxa"/>
            <w:vAlign w:val="center"/>
          </w:tcPr>
          <w:p>
            <w:pPr>
              <w:spacing w:line="240" w:lineRule="auto"/>
              <w:jc w:val="center"/>
              <w:rPr>
                <w:rFonts w:eastAsia="宋体" w:cstheme="minorBidi"/>
                <w:b/>
                <w:sz w:val="18"/>
                <w:szCs w:val="18"/>
              </w:rPr>
            </w:pPr>
            <w:r>
              <w:rPr>
                <w:rFonts w:hint="eastAsia" w:eastAsia="宋体" w:cstheme="minorBidi"/>
                <w:b/>
                <w:sz w:val="18"/>
                <w:szCs w:val="18"/>
              </w:rPr>
              <w:t>四级指标及分值</w:t>
            </w:r>
          </w:p>
        </w:tc>
        <w:tc>
          <w:tcPr>
            <w:tcW w:w="2693" w:type="dxa"/>
            <w:vAlign w:val="center"/>
          </w:tcPr>
          <w:p>
            <w:pPr>
              <w:spacing w:line="240" w:lineRule="auto"/>
              <w:jc w:val="center"/>
              <w:rPr>
                <w:rFonts w:eastAsia="宋体" w:cstheme="minorBidi"/>
                <w:b/>
                <w:sz w:val="18"/>
                <w:szCs w:val="18"/>
              </w:rPr>
            </w:pPr>
            <w:r>
              <w:rPr>
                <w:rFonts w:hint="eastAsia" w:eastAsia="宋体" w:cstheme="minorBidi"/>
                <w:b/>
                <w:sz w:val="18"/>
                <w:szCs w:val="18"/>
              </w:rPr>
              <w:t>指标说明</w:t>
            </w:r>
          </w:p>
        </w:tc>
        <w:tc>
          <w:tcPr>
            <w:tcW w:w="2552" w:type="dxa"/>
            <w:vAlign w:val="center"/>
          </w:tcPr>
          <w:p>
            <w:pPr>
              <w:spacing w:line="240" w:lineRule="auto"/>
              <w:jc w:val="center"/>
              <w:rPr>
                <w:rFonts w:eastAsia="宋体" w:cstheme="minorBidi"/>
                <w:b/>
                <w:sz w:val="18"/>
                <w:szCs w:val="18"/>
              </w:rPr>
            </w:pPr>
            <w:r>
              <w:rPr>
                <w:rFonts w:hint="eastAsia" w:eastAsia="宋体" w:cstheme="minorBidi"/>
                <w:b/>
                <w:sz w:val="18"/>
                <w:szCs w:val="18"/>
              </w:rPr>
              <w:t>评价标准</w:t>
            </w:r>
          </w:p>
        </w:tc>
        <w:tc>
          <w:tcPr>
            <w:tcW w:w="1275" w:type="dxa"/>
            <w:vAlign w:val="center"/>
          </w:tcPr>
          <w:p>
            <w:pPr>
              <w:spacing w:line="240" w:lineRule="auto"/>
              <w:jc w:val="center"/>
              <w:rPr>
                <w:rFonts w:eastAsia="宋体" w:cstheme="minorBidi"/>
                <w:b/>
                <w:sz w:val="18"/>
                <w:szCs w:val="18"/>
              </w:rPr>
            </w:pPr>
            <w:r>
              <w:rPr>
                <w:rFonts w:hint="eastAsia" w:eastAsia="宋体" w:cstheme="minorBidi"/>
                <w:b/>
                <w:sz w:val="18"/>
                <w:szCs w:val="18"/>
              </w:rPr>
              <w:t>得分</w:t>
            </w:r>
          </w:p>
        </w:tc>
        <w:tc>
          <w:tcPr>
            <w:tcW w:w="2127" w:type="dxa"/>
            <w:vAlign w:val="center"/>
          </w:tcPr>
          <w:p>
            <w:pPr>
              <w:spacing w:line="240" w:lineRule="auto"/>
              <w:jc w:val="center"/>
              <w:rPr>
                <w:rFonts w:eastAsia="宋体" w:cstheme="minorBidi"/>
                <w:b/>
                <w:sz w:val="18"/>
                <w:szCs w:val="18"/>
              </w:rPr>
            </w:pPr>
            <w:r>
              <w:rPr>
                <w:rFonts w:hint="eastAsia" w:eastAsia="宋体" w:cstheme="minorBidi"/>
                <w:b/>
                <w:sz w:val="18"/>
                <w:szCs w:val="18"/>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投入   （20分）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20%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立项  （12分）</w:t>
            </w:r>
          </w:p>
        </w:tc>
        <w:tc>
          <w:tcPr>
            <w:tcW w:w="141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项目实施依据       （4分)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政策依据(2分）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项目政策依据、目标设定能够提供相关资料。</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目标设定符合相关政策，满分2分,一般为1分。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212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实施方案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0"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主要目标（2分）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项目目标设定合理。</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方案符合要求，现状分析清晰，内容合理、准确，满分2分，一般为1分。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2127"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目标的设定情况       （8分)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目标设立依据的充分性（4分）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目标设定的是否客观、科学进行评价。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目标制定是否科学客观，满分4分，一般为1分。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2127"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7"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目标与任务计划的相符性(4分）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对绩效目标是否与预算相符进行评价。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项目绩效目标与项目预算计划数、资金量相符，满分4分不相符为0分。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2127"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Align w:val="center"/>
          </w:tcPr>
          <w:p>
            <w:pPr>
              <w:spacing w:line="240" w:lineRule="auto"/>
              <w:jc w:val="left"/>
              <w:rPr>
                <w:rFonts w:eastAsia="宋体" w:cstheme="minorBidi"/>
                <w:sz w:val="18"/>
                <w:szCs w:val="18"/>
              </w:rPr>
            </w:pPr>
            <w:r>
              <w:rPr>
                <w:rFonts w:hint="eastAsia" w:eastAsia="宋体" w:cstheme="minorBidi"/>
                <w:sz w:val="18"/>
                <w:szCs w:val="18"/>
              </w:rPr>
              <w:t>资金</w:t>
            </w:r>
            <w:r>
              <w:rPr>
                <w:rFonts w:hint="eastAsia" w:eastAsia="宋体" w:cstheme="minorBidi"/>
                <w:sz w:val="18"/>
                <w:szCs w:val="18"/>
              </w:rPr>
              <w:br w:type="textWrapping"/>
            </w:r>
            <w:r>
              <w:rPr>
                <w:rFonts w:hint="eastAsia" w:eastAsia="宋体" w:cstheme="minorBidi"/>
                <w:sz w:val="18"/>
                <w:szCs w:val="18"/>
              </w:rPr>
              <w:t>落实    (8分）</w:t>
            </w: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项目资金到位及时率（8分）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区级财政资金到位及时性(8分）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对区级财政资金到位及时性进行评价。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指标分值=到位及时率×指标满分值8分，满分为8分。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8</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市中</w:t>
            </w:r>
            <w:r>
              <w:rPr>
                <w:rFonts w:eastAsia="宋体" w:cstheme="minorBidi"/>
                <w:sz w:val="18"/>
                <w:szCs w:val="18"/>
              </w:rPr>
              <w:t>财政指标文市中财农指</w:t>
            </w:r>
            <w:r>
              <w:rPr>
                <w:rFonts w:hint="eastAsia" w:eastAsia="宋体" w:cstheme="minorBidi"/>
                <w:sz w:val="18"/>
                <w:szCs w:val="18"/>
              </w:rPr>
              <w:t>[2018]40号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trPr>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过程      （30分）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30%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业务</w:t>
            </w:r>
            <w:r>
              <w:rPr>
                <w:rFonts w:hint="eastAsia" w:eastAsia="宋体" w:cstheme="minorBidi"/>
                <w:sz w:val="18"/>
                <w:szCs w:val="18"/>
              </w:rPr>
              <w:br w:type="textWrapping"/>
            </w:r>
            <w:r>
              <w:rPr>
                <w:rFonts w:hint="eastAsia" w:eastAsia="宋体" w:cstheme="minorBidi"/>
                <w:sz w:val="18"/>
                <w:szCs w:val="18"/>
              </w:rPr>
              <w:t>管理  （15分）</w:t>
            </w:r>
          </w:p>
        </w:tc>
        <w:tc>
          <w:tcPr>
            <w:tcW w:w="141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组织管理水平</w:t>
            </w:r>
          </w:p>
          <w:p>
            <w:pPr>
              <w:spacing w:line="240" w:lineRule="auto"/>
              <w:jc w:val="left"/>
              <w:rPr>
                <w:rFonts w:eastAsia="宋体" w:cstheme="minorBidi"/>
                <w:sz w:val="18"/>
                <w:szCs w:val="18"/>
              </w:rPr>
            </w:pPr>
            <w:r>
              <w:rPr>
                <w:rFonts w:hint="eastAsia" w:eastAsia="宋体" w:cstheme="minorBidi"/>
                <w:sz w:val="18"/>
                <w:szCs w:val="18"/>
              </w:rPr>
              <w:t>（10分）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组织机构情况</w:t>
            </w:r>
          </w:p>
          <w:p>
            <w:pPr>
              <w:spacing w:line="240" w:lineRule="auto"/>
              <w:jc w:val="left"/>
              <w:rPr>
                <w:rFonts w:eastAsia="宋体" w:cstheme="minorBidi"/>
                <w:sz w:val="18"/>
                <w:szCs w:val="18"/>
              </w:rPr>
            </w:pPr>
            <w:r>
              <w:rPr>
                <w:rFonts w:hint="eastAsia" w:eastAsia="宋体" w:cstheme="minorBidi"/>
                <w:sz w:val="18"/>
                <w:szCs w:val="18"/>
              </w:rPr>
              <w:t>(4分）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机构是否健全、分工明确</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项目机构是否齐全、项目分工是否明确进行评价，满分为4分超标0分。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3</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单位职责制度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管理制度保障</w:t>
            </w:r>
          </w:p>
          <w:p>
            <w:pPr>
              <w:spacing w:line="240" w:lineRule="auto"/>
              <w:jc w:val="left"/>
              <w:rPr>
                <w:rFonts w:eastAsia="宋体" w:cstheme="minorBidi"/>
                <w:sz w:val="18"/>
                <w:szCs w:val="18"/>
              </w:rPr>
            </w:pPr>
            <w:r>
              <w:rPr>
                <w:rFonts w:hint="eastAsia" w:eastAsia="宋体" w:cstheme="minorBidi"/>
                <w:sz w:val="18"/>
                <w:szCs w:val="18"/>
              </w:rPr>
              <w:t>(4分）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管理制度是否健全及落实，档案资料是否归档。</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项目管理制度是否健全及落实，招投标资料、合同书、验收报告、技术鉴定等是否齐全及归档，满分4分，不完整为1分，未制定为0分。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管理制度、日常执行情况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7"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管理机构办公条件的保障(2分）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项目承担单位人员、设备及场地是否能保障项目顺利实施。</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项目单位人员是否充足，办公基本条件是否具备，满分2分，不具备的为0分。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办公场所勘察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项目质量可控性</w:t>
            </w:r>
          </w:p>
          <w:p>
            <w:pPr>
              <w:spacing w:line="240" w:lineRule="auto"/>
              <w:jc w:val="left"/>
              <w:rPr>
                <w:rFonts w:eastAsia="宋体" w:cstheme="minorBidi"/>
                <w:sz w:val="18"/>
                <w:szCs w:val="18"/>
              </w:rPr>
            </w:pPr>
            <w:r>
              <w:rPr>
                <w:rFonts w:hint="eastAsia" w:eastAsia="宋体" w:cstheme="minorBidi"/>
                <w:sz w:val="18"/>
                <w:szCs w:val="18"/>
              </w:rPr>
              <w:t>（5分）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项目质量或标准的健全性(1分）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对目是否具有完备的质量与标准要求进行评价。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项目是否具有完备的质量与标准要求，满分1分，标准不健全为0分。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1</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实施方案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项目实施的控制情况(2分）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对项目实施的控制情况进行评价。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项目实施与实施方案或计划相符，项目实施的控制情况，满分2分，一般为1分，不相符为0分。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212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实施方案，抽查资料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7"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项目质量管理水平(2分）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项目完成质量管理及监管。(2分）</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是否对项目完成质量进行监管和抽查。</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1</w:t>
            </w:r>
          </w:p>
        </w:tc>
        <w:tc>
          <w:tcPr>
            <w:tcW w:w="2127"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993" w:type="dxa"/>
            <w:vAlign w:val="center"/>
          </w:tcPr>
          <w:p>
            <w:pPr>
              <w:spacing w:line="240" w:lineRule="auto"/>
              <w:jc w:val="center"/>
              <w:rPr>
                <w:rFonts w:eastAsia="宋体" w:cstheme="minorBidi"/>
                <w:b/>
                <w:sz w:val="18"/>
                <w:szCs w:val="18"/>
              </w:rPr>
            </w:pPr>
            <w:r>
              <w:rPr>
                <w:rFonts w:hint="eastAsia" w:eastAsia="宋体" w:cstheme="minorBidi"/>
                <w:b/>
                <w:sz w:val="18"/>
                <w:szCs w:val="18"/>
              </w:rPr>
              <w:t>一级</w:t>
            </w:r>
            <w:r>
              <w:rPr>
                <w:rFonts w:hint="eastAsia" w:eastAsia="宋体" w:cstheme="minorBidi"/>
                <w:b/>
                <w:sz w:val="18"/>
                <w:szCs w:val="18"/>
              </w:rPr>
              <w:br w:type="textWrapping"/>
            </w:r>
            <w:r>
              <w:rPr>
                <w:rFonts w:hint="eastAsia" w:eastAsia="宋体" w:cstheme="minorBidi"/>
                <w:b/>
                <w:sz w:val="18"/>
                <w:szCs w:val="18"/>
              </w:rPr>
              <w:t>指标</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权重</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二级</w:t>
            </w:r>
            <w:r>
              <w:rPr>
                <w:rFonts w:hint="eastAsia" w:eastAsia="宋体" w:cstheme="minorBidi"/>
                <w:b/>
                <w:sz w:val="18"/>
                <w:szCs w:val="18"/>
              </w:rPr>
              <w:br w:type="textWrapping"/>
            </w:r>
            <w:r>
              <w:rPr>
                <w:rFonts w:hint="eastAsia" w:eastAsia="宋体" w:cstheme="minorBidi"/>
                <w:b/>
                <w:sz w:val="18"/>
                <w:szCs w:val="18"/>
              </w:rPr>
              <w:t>指标</w:t>
            </w:r>
          </w:p>
        </w:tc>
        <w:tc>
          <w:tcPr>
            <w:tcW w:w="1417" w:type="dxa"/>
            <w:vAlign w:val="center"/>
          </w:tcPr>
          <w:p>
            <w:pPr>
              <w:spacing w:line="240" w:lineRule="auto"/>
              <w:jc w:val="center"/>
              <w:rPr>
                <w:rFonts w:eastAsia="宋体" w:cstheme="minorBidi"/>
                <w:b/>
                <w:sz w:val="18"/>
                <w:szCs w:val="18"/>
              </w:rPr>
            </w:pPr>
            <w:r>
              <w:rPr>
                <w:rFonts w:hint="eastAsia" w:eastAsia="宋体" w:cstheme="minorBidi"/>
                <w:b/>
                <w:sz w:val="18"/>
                <w:szCs w:val="18"/>
              </w:rPr>
              <w:t>三级指标</w:t>
            </w:r>
          </w:p>
        </w:tc>
        <w:tc>
          <w:tcPr>
            <w:tcW w:w="1985" w:type="dxa"/>
            <w:vAlign w:val="center"/>
          </w:tcPr>
          <w:p>
            <w:pPr>
              <w:spacing w:line="240" w:lineRule="auto"/>
              <w:jc w:val="center"/>
              <w:rPr>
                <w:rFonts w:eastAsia="宋体" w:cstheme="minorBidi"/>
                <w:b/>
                <w:sz w:val="18"/>
                <w:szCs w:val="18"/>
              </w:rPr>
            </w:pPr>
            <w:r>
              <w:rPr>
                <w:rFonts w:hint="eastAsia" w:eastAsia="宋体" w:cstheme="minorBidi"/>
                <w:b/>
                <w:sz w:val="18"/>
                <w:szCs w:val="18"/>
              </w:rPr>
              <w:t>四级指标及分值</w:t>
            </w:r>
          </w:p>
        </w:tc>
        <w:tc>
          <w:tcPr>
            <w:tcW w:w="2693" w:type="dxa"/>
            <w:vAlign w:val="center"/>
          </w:tcPr>
          <w:p>
            <w:pPr>
              <w:spacing w:line="240" w:lineRule="auto"/>
              <w:jc w:val="center"/>
              <w:rPr>
                <w:rFonts w:eastAsia="宋体" w:cstheme="minorBidi"/>
                <w:b/>
                <w:sz w:val="18"/>
                <w:szCs w:val="18"/>
              </w:rPr>
            </w:pPr>
            <w:r>
              <w:rPr>
                <w:rFonts w:hint="eastAsia" w:eastAsia="宋体" w:cstheme="minorBidi"/>
                <w:b/>
                <w:sz w:val="18"/>
                <w:szCs w:val="18"/>
              </w:rPr>
              <w:t>指标说明</w:t>
            </w:r>
          </w:p>
        </w:tc>
        <w:tc>
          <w:tcPr>
            <w:tcW w:w="2552" w:type="dxa"/>
            <w:vAlign w:val="center"/>
          </w:tcPr>
          <w:p>
            <w:pPr>
              <w:spacing w:line="240" w:lineRule="auto"/>
              <w:jc w:val="center"/>
              <w:rPr>
                <w:rFonts w:eastAsia="宋体" w:cstheme="minorBidi"/>
                <w:b/>
                <w:sz w:val="18"/>
                <w:szCs w:val="18"/>
              </w:rPr>
            </w:pPr>
            <w:r>
              <w:rPr>
                <w:rFonts w:hint="eastAsia" w:eastAsia="宋体" w:cstheme="minorBidi"/>
                <w:b/>
                <w:sz w:val="18"/>
                <w:szCs w:val="18"/>
              </w:rPr>
              <w:t>评价标准</w:t>
            </w:r>
          </w:p>
        </w:tc>
        <w:tc>
          <w:tcPr>
            <w:tcW w:w="1275" w:type="dxa"/>
            <w:vAlign w:val="center"/>
          </w:tcPr>
          <w:p>
            <w:pPr>
              <w:spacing w:line="240" w:lineRule="auto"/>
              <w:jc w:val="center"/>
              <w:rPr>
                <w:rFonts w:hint="default" w:eastAsia="宋体" w:cstheme="minorBidi"/>
                <w:b/>
                <w:sz w:val="18"/>
                <w:szCs w:val="18"/>
                <w:lang w:val="en-US" w:eastAsia="zh-CN"/>
              </w:rPr>
            </w:pPr>
            <w:r>
              <w:rPr>
                <w:rFonts w:hint="eastAsia" w:eastAsia="宋体" w:cstheme="minorBidi"/>
                <w:b/>
                <w:sz w:val="18"/>
                <w:szCs w:val="18"/>
                <w:lang w:val="en-US" w:eastAsia="zh-CN"/>
              </w:rPr>
              <w:t>得分</w:t>
            </w:r>
          </w:p>
        </w:tc>
        <w:tc>
          <w:tcPr>
            <w:tcW w:w="2127" w:type="dxa"/>
            <w:vAlign w:val="center"/>
          </w:tcPr>
          <w:p>
            <w:pPr>
              <w:spacing w:line="240" w:lineRule="auto"/>
              <w:jc w:val="center"/>
              <w:rPr>
                <w:rFonts w:eastAsia="宋体" w:cstheme="minorBidi"/>
                <w:b/>
                <w:sz w:val="18"/>
                <w:szCs w:val="18"/>
              </w:rPr>
            </w:pPr>
            <w:r>
              <w:rPr>
                <w:rFonts w:hint="eastAsia" w:eastAsia="宋体" w:cstheme="minorBidi"/>
                <w:b/>
                <w:sz w:val="18"/>
                <w:szCs w:val="18"/>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接上页  过程</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接上页</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财务</w:t>
            </w:r>
            <w:r>
              <w:rPr>
                <w:rFonts w:hint="eastAsia" w:eastAsia="宋体" w:cstheme="minorBidi"/>
                <w:sz w:val="18"/>
                <w:szCs w:val="18"/>
              </w:rPr>
              <w:br w:type="textWrapping"/>
            </w:r>
            <w:r>
              <w:rPr>
                <w:rFonts w:hint="eastAsia" w:eastAsia="宋体" w:cstheme="minorBidi"/>
                <w:sz w:val="18"/>
                <w:szCs w:val="18"/>
              </w:rPr>
              <w:t>管理  （15分）</w:t>
            </w: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财务管理制度健全性（6分）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资金管理制度的健全性(6分）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对项目单位是否建立完善资金管理措施和制度进行评价。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项目单位资金管理措施和制度健全，满分6分，为制定制度为0分。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3</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项目执行的资金管理制度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3"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资金使用合规性及相符性</w:t>
            </w:r>
          </w:p>
          <w:p>
            <w:pPr>
              <w:spacing w:line="240" w:lineRule="auto"/>
              <w:jc w:val="left"/>
              <w:rPr>
                <w:rFonts w:eastAsia="宋体" w:cstheme="minorBidi"/>
                <w:sz w:val="18"/>
                <w:szCs w:val="18"/>
              </w:rPr>
            </w:pPr>
            <w:r>
              <w:rPr>
                <w:rFonts w:hint="eastAsia" w:eastAsia="宋体" w:cstheme="minorBidi"/>
                <w:sz w:val="18"/>
                <w:szCs w:val="18"/>
              </w:rPr>
              <w:t>（9分）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资金使用的合规性(4分）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对专项资金的适用范围、支出依据是否合理进行评价。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资金使用不合规的，发现1处扣1分；发现挤占、挪用、截留、改变用途问题，扣2-4分，若项目20%以上资金存在问题二级指标整体不得分。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212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资金拨付凭证、合同</w:t>
            </w:r>
          </w:p>
          <w:p>
            <w:pPr>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5"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资金拨付的合规性(2分）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对专项资金审批、拨付手续、拨付程序，拨付进度是否规范进行评价。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审批、拨付手续不够规范、程序不够严谨，发现1处扣0.5分，若项目20%以上资金违反资金管理办法相关规定，则二级指标整体不得分。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2127"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48"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政府采购的合规性(2分）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对项目采购是否经过政府采购程序，符合招标法的相关规定，程序是否合规进行评价。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项目采购经过政府采购程序，符合招标法的相关规定，程序合规，得1分，否则不得分，若项目20%以上资金违反相关规定，则二级指标整体不得分。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2</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山东省水产生物资源养护管理中心要求统一采购省级增殖站生产的苗种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7"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Merge w:val="continue"/>
            <w:vAlign w:val="center"/>
          </w:tcPr>
          <w:p>
            <w:pPr>
              <w:spacing w:line="240" w:lineRule="auto"/>
              <w:jc w:val="left"/>
              <w:rPr>
                <w:rFonts w:eastAsia="宋体" w:cstheme="minorBidi"/>
                <w:sz w:val="18"/>
                <w:szCs w:val="18"/>
              </w:rPr>
            </w:pP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项目支出与预算的相符性(1分）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对项目支出是否符合预算的要求进行评价。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支出符合预算要求，得1分，否则不得分，若支出与预算内容不符且偏差率超过5%，则二级指标整体不得分。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1</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财政指标文及资金拨付凭证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3" w:hRule="atLeast"/>
        </w:trPr>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产出     （20分）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20%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w:t>
            </w:r>
            <w:r>
              <w:rPr>
                <w:rFonts w:hint="eastAsia" w:eastAsia="宋体" w:cstheme="minorBidi"/>
                <w:sz w:val="18"/>
                <w:szCs w:val="18"/>
              </w:rPr>
              <w:br w:type="textWrapping"/>
            </w:r>
            <w:r>
              <w:rPr>
                <w:rFonts w:hint="eastAsia" w:eastAsia="宋体" w:cstheme="minorBidi"/>
                <w:sz w:val="18"/>
                <w:szCs w:val="18"/>
              </w:rPr>
              <w:t>产出  （20分）</w:t>
            </w: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项目完成情况       （5分）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预定目标是否实现</w:t>
            </w:r>
          </w:p>
          <w:p>
            <w:pPr>
              <w:spacing w:line="240" w:lineRule="auto"/>
              <w:jc w:val="left"/>
              <w:rPr>
                <w:rFonts w:eastAsia="宋体" w:cstheme="minorBidi"/>
                <w:sz w:val="18"/>
                <w:szCs w:val="18"/>
              </w:rPr>
            </w:pPr>
            <w:r>
              <w:rPr>
                <w:rFonts w:hint="eastAsia" w:eastAsia="宋体" w:cstheme="minorBidi"/>
                <w:sz w:val="18"/>
                <w:szCs w:val="18"/>
              </w:rPr>
              <w:t>（5分）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对照预定目标，对项目完成情况进行评价【完成率=（实际完成量/计划完成量）×100%】。</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指标分值=实际完成率×指标满分值5分，若项目实际完成量达不到计划完成量的80%，则二级指标不得分。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2127"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抽检资料及自评报告</w:t>
            </w:r>
          </w:p>
          <w:p>
            <w:pPr>
              <w:spacing w:line="240" w:lineRule="auto"/>
              <w:jc w:val="left"/>
              <w:rPr>
                <w:rFonts w:eastAsia="宋体" w:cstheme="minorBidi"/>
                <w:sz w:val="18"/>
                <w:szCs w:val="18"/>
              </w:rPr>
            </w:pPr>
            <w:r>
              <w:rPr>
                <w:rFonts w:hint="eastAsia" w:eastAsia="宋体" w:cstheme="minorBidi"/>
                <w:sz w:val="18"/>
                <w:szCs w:val="18"/>
              </w:rPr>
              <w:t>自评报告</w:t>
            </w:r>
          </w:p>
          <w:p>
            <w:pPr>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6" w:hRule="atLeast"/>
        </w:trPr>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项目完成质量       （5分）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项目完成质量合格率（5分）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对照预定目标，对项目实施质量达标情况进行评价【质量达标率=（质量达标完成量/实际完成量）×100%。</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指标分值=质量达标率×指标满分值5分。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4</w:t>
            </w:r>
          </w:p>
        </w:tc>
        <w:tc>
          <w:tcPr>
            <w:tcW w:w="2127" w:type="dxa"/>
            <w:vMerge w:val="continue"/>
            <w:vAlign w:val="center"/>
          </w:tcPr>
          <w:p>
            <w:pPr>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完成及时性（5分）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项目是否按时完成(5分）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对项目是否预定日期完成进行评价。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项目是否按实施方案如期完成，满分5分，推迟的按照情况酌情扣分，扣完为止。</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2127" w:type="dxa"/>
            <w:vMerge w:val="continue"/>
            <w:vAlign w:val="center"/>
          </w:tcPr>
          <w:p>
            <w:pPr>
              <w:spacing w:line="240" w:lineRule="auto"/>
              <w:jc w:val="left"/>
              <w:rPr>
                <w:rFonts w:eastAsia="宋体" w:cstheme="minorBidi"/>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continue"/>
            <w:vAlign w:val="center"/>
          </w:tcPr>
          <w:p>
            <w:pPr>
              <w:spacing w:line="240" w:lineRule="auto"/>
              <w:jc w:val="center"/>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成本情况（5分）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有无超过预算规定的总金额（5分）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对支出是否超过预算进行评价。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项目支出是否超过预算，满分5分，超出预算的酌情扣分，扣完为止。</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实施方案、购买合同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Align w:val="center"/>
          </w:tcPr>
          <w:p>
            <w:pPr>
              <w:spacing w:line="240" w:lineRule="auto"/>
              <w:jc w:val="center"/>
              <w:rPr>
                <w:rFonts w:eastAsia="宋体" w:cstheme="minorBidi"/>
                <w:b/>
                <w:sz w:val="18"/>
                <w:szCs w:val="18"/>
              </w:rPr>
            </w:pPr>
            <w:r>
              <w:rPr>
                <w:rFonts w:hint="eastAsia" w:eastAsia="宋体" w:cstheme="minorBidi"/>
                <w:b/>
                <w:sz w:val="18"/>
                <w:szCs w:val="18"/>
              </w:rPr>
              <w:t>一级</w:t>
            </w:r>
            <w:r>
              <w:rPr>
                <w:rFonts w:hint="eastAsia" w:eastAsia="宋体" w:cstheme="minorBidi"/>
                <w:b/>
                <w:sz w:val="18"/>
                <w:szCs w:val="18"/>
              </w:rPr>
              <w:br w:type="textWrapping"/>
            </w:r>
            <w:r>
              <w:rPr>
                <w:rFonts w:hint="eastAsia" w:eastAsia="宋体" w:cstheme="minorBidi"/>
                <w:b/>
                <w:sz w:val="18"/>
                <w:szCs w:val="18"/>
              </w:rPr>
              <w:t>指标</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权重</w:t>
            </w:r>
          </w:p>
        </w:tc>
        <w:tc>
          <w:tcPr>
            <w:tcW w:w="709" w:type="dxa"/>
            <w:vAlign w:val="center"/>
          </w:tcPr>
          <w:p>
            <w:pPr>
              <w:spacing w:line="240" w:lineRule="auto"/>
              <w:jc w:val="center"/>
              <w:rPr>
                <w:rFonts w:eastAsia="宋体" w:cstheme="minorBidi"/>
                <w:b/>
                <w:sz w:val="18"/>
                <w:szCs w:val="18"/>
              </w:rPr>
            </w:pPr>
            <w:r>
              <w:rPr>
                <w:rFonts w:hint="eastAsia" w:eastAsia="宋体" w:cstheme="minorBidi"/>
                <w:b/>
                <w:sz w:val="18"/>
                <w:szCs w:val="18"/>
              </w:rPr>
              <w:t>二级</w:t>
            </w:r>
            <w:r>
              <w:rPr>
                <w:rFonts w:hint="eastAsia" w:eastAsia="宋体" w:cstheme="minorBidi"/>
                <w:b/>
                <w:sz w:val="18"/>
                <w:szCs w:val="18"/>
              </w:rPr>
              <w:br w:type="textWrapping"/>
            </w:r>
            <w:r>
              <w:rPr>
                <w:rFonts w:hint="eastAsia" w:eastAsia="宋体" w:cstheme="minorBidi"/>
                <w:b/>
                <w:sz w:val="18"/>
                <w:szCs w:val="18"/>
              </w:rPr>
              <w:t>指标</w:t>
            </w:r>
          </w:p>
        </w:tc>
        <w:tc>
          <w:tcPr>
            <w:tcW w:w="1417" w:type="dxa"/>
            <w:vAlign w:val="center"/>
          </w:tcPr>
          <w:p>
            <w:pPr>
              <w:spacing w:line="240" w:lineRule="auto"/>
              <w:jc w:val="center"/>
              <w:rPr>
                <w:rFonts w:eastAsia="宋体" w:cstheme="minorBidi"/>
                <w:b/>
                <w:sz w:val="18"/>
                <w:szCs w:val="18"/>
              </w:rPr>
            </w:pPr>
            <w:r>
              <w:rPr>
                <w:rFonts w:hint="eastAsia" w:eastAsia="宋体" w:cstheme="minorBidi"/>
                <w:b/>
                <w:sz w:val="18"/>
                <w:szCs w:val="18"/>
              </w:rPr>
              <w:t>三级指标</w:t>
            </w:r>
          </w:p>
        </w:tc>
        <w:tc>
          <w:tcPr>
            <w:tcW w:w="1985" w:type="dxa"/>
            <w:vAlign w:val="center"/>
          </w:tcPr>
          <w:p>
            <w:pPr>
              <w:spacing w:line="240" w:lineRule="auto"/>
              <w:jc w:val="center"/>
              <w:rPr>
                <w:rFonts w:eastAsia="宋体" w:cstheme="minorBidi"/>
                <w:b/>
                <w:sz w:val="18"/>
                <w:szCs w:val="18"/>
              </w:rPr>
            </w:pPr>
            <w:r>
              <w:rPr>
                <w:rFonts w:hint="eastAsia" w:eastAsia="宋体" w:cstheme="minorBidi"/>
                <w:b/>
                <w:sz w:val="18"/>
                <w:szCs w:val="18"/>
              </w:rPr>
              <w:t>四级指标及分值</w:t>
            </w:r>
          </w:p>
        </w:tc>
        <w:tc>
          <w:tcPr>
            <w:tcW w:w="2693" w:type="dxa"/>
            <w:vAlign w:val="center"/>
          </w:tcPr>
          <w:p>
            <w:pPr>
              <w:spacing w:line="240" w:lineRule="auto"/>
              <w:jc w:val="center"/>
              <w:rPr>
                <w:rFonts w:eastAsia="宋体" w:cstheme="minorBidi"/>
                <w:b/>
                <w:sz w:val="18"/>
                <w:szCs w:val="18"/>
              </w:rPr>
            </w:pPr>
            <w:r>
              <w:rPr>
                <w:rFonts w:hint="eastAsia" w:eastAsia="宋体" w:cstheme="minorBidi"/>
                <w:b/>
                <w:sz w:val="18"/>
                <w:szCs w:val="18"/>
              </w:rPr>
              <w:t>指标说明</w:t>
            </w:r>
          </w:p>
        </w:tc>
        <w:tc>
          <w:tcPr>
            <w:tcW w:w="2552" w:type="dxa"/>
            <w:vAlign w:val="center"/>
          </w:tcPr>
          <w:p>
            <w:pPr>
              <w:spacing w:line="240" w:lineRule="auto"/>
              <w:jc w:val="center"/>
              <w:rPr>
                <w:rFonts w:eastAsia="宋体" w:cstheme="minorBidi"/>
                <w:b/>
                <w:sz w:val="18"/>
                <w:szCs w:val="18"/>
              </w:rPr>
            </w:pPr>
            <w:r>
              <w:rPr>
                <w:rFonts w:hint="eastAsia" w:eastAsia="宋体" w:cstheme="minorBidi"/>
                <w:b/>
                <w:sz w:val="18"/>
                <w:szCs w:val="18"/>
              </w:rPr>
              <w:t>评价标准</w:t>
            </w:r>
          </w:p>
        </w:tc>
        <w:tc>
          <w:tcPr>
            <w:tcW w:w="1275" w:type="dxa"/>
            <w:vAlign w:val="center"/>
          </w:tcPr>
          <w:p>
            <w:pPr>
              <w:spacing w:line="240" w:lineRule="auto"/>
              <w:jc w:val="center"/>
              <w:rPr>
                <w:rFonts w:hint="eastAsia" w:eastAsia="宋体" w:cstheme="minorBidi"/>
                <w:b/>
                <w:sz w:val="18"/>
                <w:szCs w:val="18"/>
                <w:lang w:eastAsia="zh-CN"/>
              </w:rPr>
            </w:pPr>
            <w:r>
              <w:rPr>
                <w:rFonts w:hint="eastAsia" w:eastAsia="宋体" w:cstheme="minorBidi"/>
                <w:b/>
                <w:sz w:val="18"/>
                <w:szCs w:val="18"/>
                <w:lang w:eastAsia="zh-CN"/>
              </w:rPr>
              <w:t>得分</w:t>
            </w:r>
          </w:p>
        </w:tc>
        <w:tc>
          <w:tcPr>
            <w:tcW w:w="2127" w:type="dxa"/>
            <w:vAlign w:val="center"/>
          </w:tcPr>
          <w:p>
            <w:pPr>
              <w:spacing w:line="240" w:lineRule="auto"/>
              <w:jc w:val="center"/>
              <w:rPr>
                <w:rFonts w:eastAsia="宋体" w:cstheme="minorBidi"/>
                <w:b/>
                <w:sz w:val="18"/>
                <w:szCs w:val="18"/>
              </w:rPr>
            </w:pPr>
            <w:r>
              <w:rPr>
                <w:rFonts w:hint="eastAsia" w:eastAsia="宋体" w:cstheme="minorBidi"/>
                <w:b/>
                <w:sz w:val="18"/>
                <w:szCs w:val="18"/>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93" w:type="dxa"/>
            <w:vMerge w:val="restart"/>
            <w:vAlign w:val="center"/>
          </w:tcPr>
          <w:p>
            <w:pPr>
              <w:spacing w:line="240" w:lineRule="auto"/>
              <w:jc w:val="center"/>
              <w:rPr>
                <w:rFonts w:eastAsia="宋体" w:cstheme="minorBidi"/>
                <w:sz w:val="18"/>
                <w:szCs w:val="18"/>
              </w:rPr>
            </w:pPr>
            <w:r>
              <w:rPr>
                <w:rFonts w:hint="eastAsia" w:eastAsia="宋体" w:cstheme="minorBidi"/>
                <w:sz w:val="18"/>
                <w:szCs w:val="18"/>
              </w:rPr>
              <w:t>效果     （30分）</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30%</w:t>
            </w:r>
          </w:p>
        </w:tc>
        <w:tc>
          <w:tcPr>
            <w:tcW w:w="709" w:type="dxa"/>
            <w:vMerge w:val="restart"/>
            <w:vAlign w:val="center"/>
          </w:tcPr>
          <w:p>
            <w:pPr>
              <w:spacing w:line="240" w:lineRule="auto"/>
              <w:jc w:val="left"/>
              <w:rPr>
                <w:rFonts w:eastAsia="宋体" w:cstheme="minorBidi"/>
                <w:sz w:val="18"/>
                <w:szCs w:val="18"/>
              </w:rPr>
            </w:pPr>
            <w:r>
              <w:rPr>
                <w:rFonts w:hint="eastAsia" w:eastAsia="宋体" w:cstheme="minorBidi"/>
                <w:sz w:val="18"/>
                <w:szCs w:val="18"/>
              </w:rPr>
              <w:t>项目效益（30分）</w:t>
            </w: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经济效益      （6分）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带动库区群众就业及增加收入（6分）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增殖放流后增加库区就业及增加库区群众收入。</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审核相关资料。</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实施方案、监督检查材料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生态效益（6分）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改善水库水质（6分）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增殖放流后改善水库水质。</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审核相关检测资料。</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现场勘查及相关抽检资料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3"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社会效益（6分）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通过增殖放流推动产生的社会效果（6分）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评价人员实地勘察、现场打分及放流单位相关记录进行评价。</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根据评价人员实地勘察、现场打分及被抽检单位记录进行评价，满分6分，效果好为6分，效果一般为4分，效果差为0分。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现场勘查、问卷调查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6"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可持续影响（6分）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增殖放流后对水质持续改善（6分）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增殖放流后对水质持续改善，是否达到目标标准</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根据检测资料、评价人员走访，问卷调查进行评价，满分6分，一般为4分，无持续性为0分。</w:t>
            </w:r>
          </w:p>
        </w:tc>
        <w:tc>
          <w:tcPr>
            <w:tcW w:w="1275" w:type="dxa"/>
            <w:vAlign w:val="center"/>
          </w:tcPr>
          <w:p>
            <w:pPr>
              <w:spacing w:line="240" w:lineRule="auto"/>
              <w:jc w:val="center"/>
              <w:rPr>
                <w:rFonts w:eastAsia="宋体" w:cstheme="minorBidi"/>
                <w:sz w:val="18"/>
                <w:szCs w:val="18"/>
              </w:rPr>
            </w:pPr>
            <w:r>
              <w:rPr>
                <w:rFonts w:hint="eastAsia" w:eastAsia="宋体" w:cstheme="minorBidi"/>
                <w:sz w:val="18"/>
                <w:szCs w:val="18"/>
              </w:rPr>
              <w:t>5</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现场观察及走访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 w:hRule="atLeast"/>
        </w:trPr>
        <w:tc>
          <w:tcPr>
            <w:tcW w:w="993"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709" w:type="dxa"/>
            <w:vMerge w:val="continue"/>
            <w:vAlign w:val="center"/>
          </w:tcPr>
          <w:p>
            <w:pPr>
              <w:spacing w:line="240" w:lineRule="auto"/>
              <w:jc w:val="left"/>
              <w:rPr>
                <w:rFonts w:eastAsia="宋体" w:cstheme="minorBidi"/>
                <w:sz w:val="18"/>
                <w:szCs w:val="18"/>
              </w:rPr>
            </w:pPr>
          </w:p>
        </w:tc>
        <w:tc>
          <w:tcPr>
            <w:tcW w:w="1417" w:type="dxa"/>
            <w:vAlign w:val="center"/>
          </w:tcPr>
          <w:p>
            <w:pPr>
              <w:spacing w:line="240" w:lineRule="auto"/>
              <w:jc w:val="left"/>
              <w:rPr>
                <w:rFonts w:eastAsia="宋体" w:cstheme="minorBidi"/>
                <w:sz w:val="18"/>
                <w:szCs w:val="18"/>
              </w:rPr>
            </w:pPr>
            <w:r>
              <w:rPr>
                <w:rFonts w:hint="eastAsia" w:eastAsia="宋体" w:cstheme="minorBidi"/>
                <w:sz w:val="18"/>
                <w:szCs w:val="18"/>
              </w:rPr>
              <w:t>社会公众或服务对象满意度      （6分）</w:t>
            </w:r>
          </w:p>
        </w:tc>
        <w:tc>
          <w:tcPr>
            <w:tcW w:w="1985" w:type="dxa"/>
            <w:vAlign w:val="center"/>
          </w:tcPr>
          <w:p>
            <w:pPr>
              <w:spacing w:line="240" w:lineRule="auto"/>
              <w:jc w:val="left"/>
              <w:rPr>
                <w:rFonts w:eastAsia="宋体" w:cstheme="minorBidi"/>
                <w:sz w:val="18"/>
                <w:szCs w:val="18"/>
              </w:rPr>
            </w:pPr>
            <w:r>
              <w:rPr>
                <w:rFonts w:hint="eastAsia" w:eastAsia="宋体" w:cstheme="minorBidi"/>
                <w:sz w:val="18"/>
                <w:szCs w:val="18"/>
              </w:rPr>
              <w:t>问卷满意度（6分）</w:t>
            </w:r>
          </w:p>
        </w:tc>
        <w:tc>
          <w:tcPr>
            <w:tcW w:w="2693" w:type="dxa"/>
            <w:vAlign w:val="center"/>
          </w:tcPr>
          <w:p>
            <w:pPr>
              <w:spacing w:line="240" w:lineRule="auto"/>
              <w:jc w:val="left"/>
              <w:rPr>
                <w:rFonts w:eastAsia="宋体" w:cstheme="minorBidi"/>
                <w:sz w:val="18"/>
                <w:szCs w:val="18"/>
              </w:rPr>
            </w:pPr>
            <w:r>
              <w:rPr>
                <w:rFonts w:hint="eastAsia" w:eastAsia="宋体" w:cstheme="minorBidi"/>
                <w:sz w:val="18"/>
                <w:szCs w:val="18"/>
              </w:rPr>
              <w:t>社会公众或服务对象对项目实施效果的满意程度。</w:t>
            </w:r>
          </w:p>
        </w:tc>
        <w:tc>
          <w:tcPr>
            <w:tcW w:w="2552" w:type="dxa"/>
            <w:vAlign w:val="center"/>
          </w:tcPr>
          <w:p>
            <w:pPr>
              <w:spacing w:line="240" w:lineRule="auto"/>
              <w:jc w:val="left"/>
              <w:rPr>
                <w:rFonts w:eastAsia="宋体" w:cstheme="minorBidi"/>
                <w:sz w:val="18"/>
                <w:szCs w:val="18"/>
              </w:rPr>
            </w:pPr>
            <w:r>
              <w:rPr>
                <w:rFonts w:hint="eastAsia" w:eastAsia="宋体" w:cstheme="minorBidi"/>
                <w:sz w:val="18"/>
                <w:szCs w:val="18"/>
              </w:rPr>
              <w:t>指标分值=满意率×指标满分值6分。</w:t>
            </w:r>
          </w:p>
        </w:tc>
        <w:tc>
          <w:tcPr>
            <w:tcW w:w="1275" w:type="dxa"/>
            <w:vAlign w:val="center"/>
          </w:tcPr>
          <w:p>
            <w:pPr>
              <w:spacing w:line="240" w:lineRule="auto"/>
              <w:jc w:val="center"/>
              <w:rPr>
                <w:rFonts w:hint="eastAsia" w:eastAsia="宋体" w:cstheme="minorBidi"/>
                <w:sz w:val="18"/>
                <w:szCs w:val="18"/>
                <w:lang w:eastAsia="zh-CN"/>
              </w:rPr>
            </w:pPr>
            <w:r>
              <w:rPr>
                <w:rFonts w:hint="eastAsia" w:eastAsia="宋体" w:cstheme="minorBidi"/>
                <w:sz w:val="18"/>
                <w:szCs w:val="18"/>
              </w:rPr>
              <w:t>4.</w:t>
            </w:r>
            <w:r>
              <w:rPr>
                <w:rFonts w:hint="eastAsia" w:eastAsia="宋体" w:cstheme="minorBidi"/>
                <w:sz w:val="18"/>
                <w:szCs w:val="18"/>
                <w:lang w:val="en-US" w:eastAsia="zh-CN"/>
              </w:rPr>
              <w:t>9</w:t>
            </w:r>
          </w:p>
        </w:tc>
        <w:tc>
          <w:tcPr>
            <w:tcW w:w="2127" w:type="dxa"/>
            <w:vAlign w:val="center"/>
          </w:tcPr>
          <w:p>
            <w:pPr>
              <w:spacing w:line="240" w:lineRule="auto"/>
              <w:jc w:val="left"/>
              <w:rPr>
                <w:rFonts w:eastAsia="宋体" w:cstheme="minorBidi"/>
                <w:sz w:val="18"/>
                <w:szCs w:val="18"/>
              </w:rPr>
            </w:pPr>
            <w:r>
              <w:rPr>
                <w:rFonts w:hint="eastAsia" w:eastAsia="宋体" w:cstheme="minorBidi"/>
                <w:sz w:val="18"/>
                <w:szCs w:val="18"/>
              </w:rPr>
              <w:t>社会公众户服务对象意见、建议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1" w:hRule="atLeast"/>
        </w:trPr>
        <w:tc>
          <w:tcPr>
            <w:tcW w:w="993" w:type="dxa"/>
            <w:vAlign w:val="center"/>
          </w:tcPr>
          <w:p>
            <w:pPr>
              <w:spacing w:line="240" w:lineRule="auto"/>
              <w:jc w:val="center"/>
              <w:rPr>
                <w:rFonts w:eastAsia="宋体" w:cstheme="minorBidi"/>
                <w:sz w:val="18"/>
                <w:szCs w:val="18"/>
              </w:rPr>
            </w:pPr>
            <w:r>
              <w:rPr>
                <w:rFonts w:hint="eastAsia" w:eastAsia="宋体" w:cstheme="minorBidi"/>
                <w:sz w:val="18"/>
                <w:szCs w:val="18"/>
              </w:rPr>
              <w:t>综合得分</w:t>
            </w:r>
          </w:p>
        </w:tc>
        <w:tc>
          <w:tcPr>
            <w:tcW w:w="709" w:type="dxa"/>
            <w:vAlign w:val="center"/>
          </w:tcPr>
          <w:p>
            <w:pPr>
              <w:spacing w:line="240" w:lineRule="auto"/>
              <w:jc w:val="left"/>
              <w:rPr>
                <w:rFonts w:eastAsia="宋体" w:cstheme="minorBidi"/>
                <w:color w:val="000000" w:themeColor="text1"/>
                <w:sz w:val="18"/>
                <w:szCs w:val="18"/>
              </w:rPr>
            </w:pPr>
          </w:p>
        </w:tc>
        <w:tc>
          <w:tcPr>
            <w:tcW w:w="709" w:type="dxa"/>
            <w:vAlign w:val="center"/>
          </w:tcPr>
          <w:p>
            <w:pPr>
              <w:spacing w:line="240" w:lineRule="auto"/>
              <w:jc w:val="left"/>
              <w:rPr>
                <w:rFonts w:eastAsia="宋体" w:cstheme="minorBidi"/>
                <w:color w:val="000000" w:themeColor="text1"/>
                <w:sz w:val="18"/>
                <w:szCs w:val="18"/>
              </w:rPr>
            </w:pPr>
          </w:p>
        </w:tc>
        <w:tc>
          <w:tcPr>
            <w:tcW w:w="1417" w:type="dxa"/>
            <w:vAlign w:val="center"/>
          </w:tcPr>
          <w:p>
            <w:pPr>
              <w:spacing w:line="240" w:lineRule="auto"/>
              <w:jc w:val="left"/>
              <w:rPr>
                <w:rFonts w:eastAsia="宋体" w:cstheme="minorBidi"/>
                <w:color w:val="000000" w:themeColor="text1"/>
                <w:sz w:val="18"/>
                <w:szCs w:val="18"/>
              </w:rPr>
            </w:pPr>
          </w:p>
        </w:tc>
        <w:tc>
          <w:tcPr>
            <w:tcW w:w="1985" w:type="dxa"/>
            <w:vAlign w:val="center"/>
          </w:tcPr>
          <w:p>
            <w:pPr>
              <w:spacing w:line="240" w:lineRule="auto"/>
              <w:jc w:val="left"/>
              <w:rPr>
                <w:rFonts w:eastAsia="宋体" w:cstheme="minorBidi"/>
                <w:color w:val="000000" w:themeColor="text1"/>
                <w:sz w:val="18"/>
                <w:szCs w:val="18"/>
              </w:rPr>
            </w:pPr>
          </w:p>
        </w:tc>
        <w:tc>
          <w:tcPr>
            <w:tcW w:w="2693" w:type="dxa"/>
            <w:vAlign w:val="center"/>
          </w:tcPr>
          <w:p>
            <w:pPr>
              <w:spacing w:line="240" w:lineRule="auto"/>
              <w:jc w:val="left"/>
              <w:rPr>
                <w:rFonts w:eastAsia="宋体" w:cstheme="minorBidi"/>
                <w:color w:val="000000" w:themeColor="text1"/>
                <w:sz w:val="18"/>
                <w:szCs w:val="18"/>
              </w:rPr>
            </w:pPr>
          </w:p>
        </w:tc>
        <w:tc>
          <w:tcPr>
            <w:tcW w:w="2552" w:type="dxa"/>
            <w:vAlign w:val="center"/>
          </w:tcPr>
          <w:p>
            <w:pPr>
              <w:spacing w:line="240" w:lineRule="auto"/>
              <w:jc w:val="left"/>
              <w:rPr>
                <w:rFonts w:eastAsia="宋体" w:cstheme="minorBidi"/>
                <w:color w:val="000000" w:themeColor="text1"/>
                <w:sz w:val="18"/>
                <w:szCs w:val="18"/>
              </w:rPr>
            </w:pPr>
          </w:p>
        </w:tc>
        <w:tc>
          <w:tcPr>
            <w:tcW w:w="1275" w:type="dxa"/>
            <w:vAlign w:val="center"/>
          </w:tcPr>
          <w:p>
            <w:pPr>
              <w:spacing w:line="240" w:lineRule="auto"/>
              <w:jc w:val="center"/>
              <w:rPr>
                <w:rFonts w:eastAsia="宋体" w:cstheme="minorBidi"/>
                <w:color w:val="000000" w:themeColor="text1"/>
                <w:sz w:val="18"/>
                <w:szCs w:val="18"/>
              </w:rPr>
            </w:pPr>
            <w:r>
              <w:rPr>
                <w:rFonts w:hint="eastAsia" w:eastAsia="宋体" w:cstheme="minorBidi"/>
                <w:color w:val="000000" w:themeColor="text1"/>
                <w:sz w:val="18"/>
                <w:szCs w:val="18"/>
              </w:rPr>
              <w:t>85.</w:t>
            </w:r>
            <w:r>
              <w:rPr>
                <w:rFonts w:hint="eastAsia" w:eastAsia="宋体" w:cstheme="minorBidi"/>
                <w:color w:val="000000" w:themeColor="text1"/>
                <w:sz w:val="18"/>
                <w:szCs w:val="18"/>
                <w:lang w:val="en-US" w:eastAsia="zh-CN"/>
              </w:rPr>
              <w:t>9</w:t>
            </w:r>
            <w:r>
              <w:rPr>
                <w:rFonts w:hint="eastAsia" w:eastAsia="宋体" w:cstheme="minorBidi"/>
                <w:color w:val="000000" w:themeColor="text1"/>
                <w:sz w:val="18"/>
                <w:szCs w:val="18"/>
              </w:rPr>
              <w:t>0</w:t>
            </w:r>
          </w:p>
        </w:tc>
        <w:tc>
          <w:tcPr>
            <w:tcW w:w="2127" w:type="dxa"/>
            <w:vAlign w:val="center"/>
          </w:tcPr>
          <w:p>
            <w:pPr>
              <w:spacing w:line="240" w:lineRule="auto"/>
              <w:jc w:val="center"/>
              <w:rPr>
                <w:rFonts w:eastAsia="宋体" w:cstheme="minorBidi"/>
                <w:color w:val="000000" w:themeColor="text1"/>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7" w:hRule="atLeast"/>
        </w:trPr>
        <w:tc>
          <w:tcPr>
            <w:tcW w:w="993" w:type="dxa"/>
            <w:vAlign w:val="center"/>
          </w:tcPr>
          <w:p>
            <w:pPr>
              <w:spacing w:line="240" w:lineRule="auto"/>
              <w:jc w:val="center"/>
              <w:rPr>
                <w:rFonts w:eastAsia="宋体" w:cstheme="minorBidi"/>
                <w:sz w:val="18"/>
                <w:szCs w:val="18"/>
              </w:rPr>
            </w:pPr>
            <w:r>
              <w:rPr>
                <w:rFonts w:hint="eastAsia" w:eastAsia="宋体" w:cstheme="minorBidi"/>
                <w:sz w:val="18"/>
                <w:szCs w:val="18"/>
              </w:rPr>
              <w:t>评价等次</w:t>
            </w:r>
          </w:p>
        </w:tc>
        <w:tc>
          <w:tcPr>
            <w:tcW w:w="709" w:type="dxa"/>
            <w:vAlign w:val="center"/>
          </w:tcPr>
          <w:p>
            <w:pPr>
              <w:spacing w:line="240" w:lineRule="auto"/>
              <w:jc w:val="left"/>
              <w:rPr>
                <w:rFonts w:eastAsia="宋体" w:cstheme="minorBidi"/>
                <w:color w:val="000000" w:themeColor="text1"/>
                <w:sz w:val="18"/>
                <w:szCs w:val="18"/>
              </w:rPr>
            </w:pPr>
          </w:p>
        </w:tc>
        <w:tc>
          <w:tcPr>
            <w:tcW w:w="709" w:type="dxa"/>
            <w:vAlign w:val="center"/>
          </w:tcPr>
          <w:p>
            <w:pPr>
              <w:spacing w:line="240" w:lineRule="auto"/>
              <w:jc w:val="left"/>
              <w:rPr>
                <w:rFonts w:eastAsia="宋体" w:cstheme="minorBidi"/>
                <w:color w:val="000000" w:themeColor="text1"/>
                <w:sz w:val="18"/>
                <w:szCs w:val="18"/>
              </w:rPr>
            </w:pPr>
          </w:p>
        </w:tc>
        <w:tc>
          <w:tcPr>
            <w:tcW w:w="1417" w:type="dxa"/>
            <w:vAlign w:val="center"/>
          </w:tcPr>
          <w:p>
            <w:pPr>
              <w:spacing w:line="240" w:lineRule="auto"/>
              <w:jc w:val="left"/>
              <w:rPr>
                <w:rFonts w:eastAsia="宋体" w:cstheme="minorBidi"/>
                <w:color w:val="000000" w:themeColor="text1"/>
                <w:sz w:val="18"/>
                <w:szCs w:val="18"/>
              </w:rPr>
            </w:pPr>
          </w:p>
        </w:tc>
        <w:tc>
          <w:tcPr>
            <w:tcW w:w="1985" w:type="dxa"/>
            <w:vAlign w:val="center"/>
          </w:tcPr>
          <w:p>
            <w:pPr>
              <w:spacing w:line="240" w:lineRule="auto"/>
              <w:jc w:val="left"/>
              <w:rPr>
                <w:rFonts w:eastAsia="宋体" w:cstheme="minorBidi"/>
                <w:color w:val="000000" w:themeColor="text1"/>
                <w:sz w:val="18"/>
                <w:szCs w:val="18"/>
              </w:rPr>
            </w:pPr>
          </w:p>
        </w:tc>
        <w:tc>
          <w:tcPr>
            <w:tcW w:w="2693" w:type="dxa"/>
            <w:vAlign w:val="center"/>
          </w:tcPr>
          <w:p>
            <w:pPr>
              <w:spacing w:line="240" w:lineRule="auto"/>
              <w:jc w:val="left"/>
              <w:rPr>
                <w:rFonts w:eastAsia="宋体" w:cstheme="minorBidi"/>
                <w:color w:val="000000" w:themeColor="text1"/>
                <w:sz w:val="18"/>
                <w:szCs w:val="18"/>
              </w:rPr>
            </w:pPr>
          </w:p>
        </w:tc>
        <w:tc>
          <w:tcPr>
            <w:tcW w:w="2552" w:type="dxa"/>
            <w:vAlign w:val="center"/>
          </w:tcPr>
          <w:p>
            <w:pPr>
              <w:spacing w:line="240" w:lineRule="auto"/>
              <w:jc w:val="left"/>
              <w:rPr>
                <w:rFonts w:eastAsia="宋体" w:cstheme="minorBidi"/>
                <w:color w:val="000000" w:themeColor="text1"/>
                <w:sz w:val="18"/>
                <w:szCs w:val="18"/>
              </w:rPr>
            </w:pPr>
          </w:p>
        </w:tc>
        <w:tc>
          <w:tcPr>
            <w:tcW w:w="1275" w:type="dxa"/>
            <w:vAlign w:val="center"/>
          </w:tcPr>
          <w:p>
            <w:pPr>
              <w:spacing w:line="240" w:lineRule="auto"/>
              <w:jc w:val="center"/>
              <w:rPr>
                <w:rFonts w:eastAsia="宋体" w:cstheme="minorBidi"/>
                <w:color w:val="000000" w:themeColor="text1"/>
                <w:sz w:val="18"/>
                <w:szCs w:val="18"/>
              </w:rPr>
            </w:pPr>
            <w:r>
              <w:rPr>
                <w:rFonts w:hint="eastAsia" w:eastAsia="宋体" w:cstheme="minorBidi"/>
                <w:color w:val="000000" w:themeColor="text1"/>
                <w:sz w:val="18"/>
                <w:szCs w:val="18"/>
              </w:rPr>
              <w:t>良好</w:t>
            </w:r>
          </w:p>
        </w:tc>
        <w:tc>
          <w:tcPr>
            <w:tcW w:w="2127" w:type="dxa"/>
            <w:vAlign w:val="center"/>
          </w:tcPr>
          <w:p>
            <w:pPr>
              <w:spacing w:line="240" w:lineRule="auto"/>
              <w:jc w:val="center"/>
              <w:rPr>
                <w:rFonts w:eastAsia="宋体" w:cstheme="minorBidi"/>
                <w:color w:val="000000" w:themeColor="text1"/>
                <w:sz w:val="18"/>
                <w:szCs w:val="18"/>
              </w:rPr>
            </w:pPr>
          </w:p>
        </w:tc>
      </w:tr>
    </w:tbl>
    <w:p>
      <w:pPr>
        <w:widowControl/>
        <w:jc w:val="left"/>
        <w:rPr>
          <w:rFonts w:eastAsia="宋体"/>
          <w:sz w:val="18"/>
          <w:szCs w:val="18"/>
        </w:rPr>
      </w:pPr>
    </w:p>
    <w:p>
      <w:pPr>
        <w:spacing w:line="440" w:lineRule="exact"/>
        <w:ind w:firstLine="624" w:firstLineChars="200"/>
        <w:rPr>
          <w:color w:val="FF0000"/>
        </w:rPr>
        <w:sectPr>
          <w:pgSz w:w="16838" w:h="11906" w:orient="landscape"/>
          <w:pgMar w:top="1134" w:right="1440" w:bottom="1134" w:left="1440" w:header="851" w:footer="992" w:gutter="0"/>
          <w:cols w:space="425" w:num="1"/>
          <w:docGrid w:linePitch="408" w:charSpace="0"/>
        </w:sectPr>
      </w:pPr>
    </w:p>
    <w:p>
      <w:pPr>
        <w:pStyle w:val="23"/>
        <w:ind w:firstLine="0" w:firstLineChars="0"/>
      </w:pPr>
      <w:bookmarkStart w:id="108" w:name="_Toc491438424"/>
      <w:r>
        <w:rPr>
          <w:rFonts w:hint="eastAsia"/>
        </w:rPr>
        <w:t>附件4</w:t>
      </w:r>
    </w:p>
    <w:p>
      <w:pPr>
        <w:pStyle w:val="23"/>
        <w:ind w:firstLine="3632" w:firstLineChars="1135"/>
      </w:pPr>
      <w:r>
        <w:rPr>
          <w:rFonts w:hint="eastAsia"/>
        </w:rPr>
        <w:t>问题清单</w:t>
      </w:r>
      <w:bookmarkEnd w:id="108"/>
    </w:p>
    <w:p>
      <w:pPr>
        <w:pStyle w:val="28"/>
        <w:ind w:firstLine="0" w:firstLineChars="0"/>
      </w:pPr>
    </w:p>
    <w:p>
      <w:pPr>
        <w:tabs>
          <w:tab w:val="left" w:pos="709"/>
        </w:tabs>
        <w:spacing w:line="580" w:lineRule="exact"/>
        <w:ind w:right="-52" w:firstLine="664" w:firstLineChars="200"/>
        <w:rPr>
          <w:rFonts w:ascii="仿宋_GB2312"/>
          <w:sz w:val="32"/>
          <w:szCs w:val="32"/>
        </w:rPr>
      </w:pPr>
      <w:r>
        <w:rPr>
          <w:rFonts w:hint="eastAsia" w:ascii="仿宋_GB2312"/>
          <w:sz w:val="32"/>
          <w:szCs w:val="32"/>
        </w:rPr>
        <w:t>经现场收集各项资料及勘察，该项目存在以下情况需核实：</w:t>
      </w:r>
    </w:p>
    <w:p>
      <w:pPr>
        <w:pStyle w:val="28"/>
        <w:spacing w:line="580" w:lineRule="exact"/>
        <w:ind w:right="-50" w:rightChars="-16" w:firstLine="664"/>
        <w:rPr>
          <w:rFonts w:ascii="仿宋_GB2312" w:hAnsi="仿宋"/>
          <w:color w:val="000000" w:themeColor="text1"/>
          <w:sz w:val="32"/>
          <w:szCs w:val="32"/>
        </w:rPr>
      </w:pPr>
      <w:r>
        <w:rPr>
          <w:rFonts w:ascii="仿宋_GB2312" w:hAnsi="仿宋"/>
          <w:color w:val="000000" w:themeColor="text1"/>
          <w:sz w:val="32"/>
          <w:szCs w:val="32"/>
        </w:rPr>
        <w:t>1、</w:t>
      </w:r>
      <w:r>
        <w:rPr>
          <w:rFonts w:ascii="仿宋_GB2312" w:hAnsi="仿宋"/>
          <w:color w:val="000000" w:themeColor="text1"/>
          <w:sz w:val="32"/>
          <w:szCs w:val="32"/>
        </w:rPr>
        <w:tab/>
      </w:r>
      <w:r>
        <w:rPr>
          <w:rFonts w:ascii="仿宋_GB2312" w:hAnsi="仿宋"/>
          <w:color w:val="000000" w:themeColor="text1"/>
          <w:sz w:val="32"/>
          <w:szCs w:val="32"/>
        </w:rPr>
        <w:t>实施增殖放流项目后鱼苗投放后的</w:t>
      </w:r>
      <w:r>
        <w:rPr>
          <w:rFonts w:hint="eastAsia" w:ascii="仿宋_GB2312" w:hAnsi="仿宋"/>
          <w:color w:val="000000" w:themeColor="text1"/>
          <w:sz w:val="32"/>
          <w:szCs w:val="32"/>
        </w:rPr>
        <w:t>渔业</w:t>
      </w:r>
      <w:r>
        <w:rPr>
          <w:rFonts w:ascii="仿宋_GB2312" w:hAnsi="仿宋"/>
          <w:color w:val="000000" w:themeColor="text1"/>
          <w:sz w:val="32"/>
          <w:szCs w:val="32"/>
        </w:rPr>
        <w:t>生产能力未</w:t>
      </w:r>
      <w:r>
        <w:rPr>
          <w:rFonts w:hint="eastAsia" w:ascii="仿宋_GB2312" w:hAnsi="仿宋"/>
          <w:color w:val="000000" w:themeColor="text1"/>
          <w:sz w:val="32"/>
          <w:szCs w:val="32"/>
        </w:rPr>
        <w:t>达到</w:t>
      </w:r>
      <w:r>
        <w:rPr>
          <w:rFonts w:ascii="仿宋_GB2312" w:hAnsi="仿宋"/>
          <w:color w:val="000000" w:themeColor="text1"/>
          <w:sz w:val="32"/>
          <w:szCs w:val="32"/>
        </w:rPr>
        <w:t>预期效果。</w:t>
      </w:r>
    </w:p>
    <w:p>
      <w:pPr>
        <w:pStyle w:val="28"/>
        <w:spacing w:line="580" w:lineRule="exact"/>
        <w:ind w:right="-50" w:rightChars="-16" w:firstLine="664"/>
        <w:rPr>
          <w:rFonts w:ascii="仿宋_GB2312" w:hAnsi="仿宋"/>
          <w:color w:val="000000" w:themeColor="text1"/>
          <w:sz w:val="32"/>
          <w:szCs w:val="32"/>
        </w:rPr>
      </w:pPr>
      <w:r>
        <w:rPr>
          <w:rFonts w:ascii="仿宋_GB2312" w:hAnsi="仿宋"/>
          <w:color w:val="000000" w:themeColor="text1"/>
          <w:sz w:val="32"/>
          <w:szCs w:val="32"/>
        </w:rPr>
        <w:t>2、项目管理制度不够健全</w:t>
      </w:r>
      <w:r>
        <w:rPr>
          <w:rFonts w:hint="eastAsia" w:ascii="仿宋_GB2312" w:hAnsi="仿宋"/>
          <w:color w:val="000000" w:themeColor="text1"/>
          <w:sz w:val="32"/>
          <w:szCs w:val="32"/>
        </w:rPr>
        <w:t>、</w:t>
      </w:r>
      <w:r>
        <w:rPr>
          <w:rFonts w:ascii="仿宋_GB2312" w:hAnsi="仿宋"/>
          <w:color w:val="000000" w:themeColor="text1"/>
          <w:sz w:val="32"/>
          <w:szCs w:val="32"/>
        </w:rPr>
        <w:t>完善</w:t>
      </w:r>
      <w:r>
        <w:rPr>
          <w:rFonts w:hint="eastAsia" w:ascii="仿宋_GB2312" w:hAnsi="仿宋"/>
          <w:color w:val="000000" w:themeColor="text1"/>
          <w:sz w:val="32"/>
          <w:szCs w:val="32"/>
        </w:rPr>
        <w:t>。</w:t>
      </w:r>
    </w:p>
    <w:p>
      <w:pPr>
        <w:pStyle w:val="28"/>
        <w:spacing w:line="580" w:lineRule="exact"/>
        <w:ind w:right="-50" w:rightChars="-16" w:firstLine="664"/>
        <w:rPr>
          <w:rFonts w:ascii="仿宋_GB2312" w:hAnsi="仿宋"/>
          <w:color w:val="000000" w:themeColor="text1"/>
          <w:sz w:val="32"/>
          <w:szCs w:val="32"/>
        </w:rPr>
      </w:pPr>
      <w:r>
        <w:rPr>
          <w:rFonts w:hint="eastAsia" w:ascii="仿宋_GB2312" w:hAnsi="仿宋"/>
          <w:color w:val="000000" w:themeColor="text1"/>
          <w:sz w:val="32"/>
          <w:szCs w:val="32"/>
        </w:rPr>
        <w:t>3、</w:t>
      </w:r>
      <w:r>
        <w:rPr>
          <w:rFonts w:ascii="仿宋_GB2312" w:hAnsi="仿宋"/>
          <w:color w:val="000000" w:themeColor="text1"/>
          <w:sz w:val="32"/>
          <w:szCs w:val="32"/>
        </w:rPr>
        <w:t>项目相关抽查资料，各项管理制度及台账，</w:t>
      </w:r>
      <w:r>
        <w:rPr>
          <w:rFonts w:hint="eastAsia" w:ascii="仿宋_GB2312" w:hAnsi="仿宋"/>
          <w:color w:val="000000" w:themeColor="text1"/>
          <w:sz w:val="32"/>
          <w:szCs w:val="32"/>
        </w:rPr>
        <w:t>不够</w:t>
      </w:r>
      <w:r>
        <w:rPr>
          <w:rFonts w:ascii="仿宋_GB2312" w:hAnsi="仿宋"/>
          <w:color w:val="000000" w:themeColor="text1"/>
          <w:sz w:val="32"/>
          <w:szCs w:val="32"/>
        </w:rPr>
        <w:t>完整。</w:t>
      </w:r>
    </w:p>
    <w:p>
      <w:pPr>
        <w:pStyle w:val="24"/>
        <w:tabs>
          <w:tab w:val="left" w:pos="1134"/>
        </w:tabs>
        <w:ind w:firstLine="664"/>
        <w:rPr>
          <w:rFonts w:ascii="仿宋_GB2312" w:hAnsi="仿宋" w:eastAsia="仿宋_GB2312" w:cs="Times New Roman"/>
          <w:color w:val="000000" w:themeColor="text1"/>
          <w:szCs w:val="32"/>
        </w:rPr>
      </w:pPr>
    </w:p>
    <w:p>
      <w:pPr>
        <w:pStyle w:val="24"/>
        <w:tabs>
          <w:tab w:val="left" w:pos="1134"/>
        </w:tabs>
        <w:ind w:firstLine="664"/>
        <w:rPr>
          <w:rFonts w:ascii="仿宋_GB2312" w:hAnsi="仿宋" w:eastAsia="仿宋_GB2312" w:cs="Times New Roman"/>
          <w:szCs w:val="32"/>
        </w:rPr>
      </w:pPr>
    </w:p>
    <w:p>
      <w:pPr>
        <w:pStyle w:val="28"/>
        <w:spacing w:line="580" w:lineRule="exact"/>
        <w:ind w:right="87" w:rightChars="28" w:firstLine="664"/>
        <w:rPr>
          <w:rFonts w:ascii="仿宋_GB2312" w:hAnsi="仿宋"/>
          <w:sz w:val="32"/>
          <w:szCs w:val="32"/>
        </w:rPr>
      </w:pPr>
    </w:p>
    <w:p>
      <w:pPr>
        <w:tabs>
          <w:tab w:val="left" w:pos="709"/>
        </w:tabs>
        <w:spacing w:line="580" w:lineRule="exact"/>
        <w:ind w:firstLine="2416" w:firstLineChars="647"/>
        <w:rPr>
          <w:rFonts w:ascii="仿宋_GB2312"/>
          <w:b/>
          <w:color w:val="FF0000"/>
          <w:sz w:val="36"/>
          <w:szCs w:val="36"/>
        </w:rPr>
      </w:pPr>
    </w:p>
    <w:p>
      <w:pPr>
        <w:ind w:firstLine="2416" w:firstLineChars="647"/>
        <w:rPr>
          <w:rFonts w:ascii="仿宋_GB2312"/>
          <w:b/>
          <w:color w:val="FF0000"/>
          <w:sz w:val="36"/>
          <w:szCs w:val="36"/>
        </w:rPr>
      </w:pPr>
    </w:p>
    <w:p>
      <w:pPr>
        <w:ind w:firstLine="2416" w:firstLineChars="647"/>
        <w:rPr>
          <w:rFonts w:ascii="仿宋_GB2312"/>
          <w:b/>
          <w:sz w:val="36"/>
          <w:szCs w:val="36"/>
        </w:rPr>
      </w:pPr>
    </w:p>
    <w:p>
      <w:pPr>
        <w:ind w:firstLine="2416" w:firstLineChars="647"/>
        <w:rPr>
          <w:rFonts w:ascii="仿宋_GB2312"/>
          <w:b/>
          <w:sz w:val="36"/>
          <w:szCs w:val="36"/>
        </w:rPr>
      </w:pPr>
    </w:p>
    <w:p>
      <w:pPr>
        <w:spacing w:line="580" w:lineRule="exact"/>
        <w:rPr>
          <w:rFonts w:ascii="仿宋" w:hAnsi="仿宋" w:eastAsia="仿宋"/>
          <w:sz w:val="32"/>
          <w:szCs w:val="32"/>
        </w:rPr>
      </w:pPr>
    </w:p>
    <w:sectPr>
      <w:pgSz w:w="11906" w:h="16838"/>
      <w:pgMar w:top="1440" w:right="1797" w:bottom="1440" w:left="1797" w:header="851" w:footer="992"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98844"/>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rFonts w:hint="eastAsia"/>
                <w:b/>
                <w:lang w:val="zh-CN"/>
              </w:rPr>
              <w:t>29</w:t>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31A"/>
    <w:multiLevelType w:val="multilevel"/>
    <w:tmpl w:val="1B0133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D242D6"/>
    <w:multiLevelType w:val="multilevel"/>
    <w:tmpl w:val="24D242D6"/>
    <w:lvl w:ilvl="0" w:tentative="0">
      <w:start w:val="1"/>
      <w:numFmt w:val="decimal"/>
      <w:lvlText w:val="%1、"/>
      <w:lvlJc w:val="left"/>
      <w:pPr>
        <w:ind w:left="1572" w:hanging="72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2">
    <w:nsid w:val="25404837"/>
    <w:multiLevelType w:val="multilevel"/>
    <w:tmpl w:val="25404837"/>
    <w:lvl w:ilvl="0" w:tentative="0">
      <w:start w:val="1"/>
      <w:numFmt w:val="decimal"/>
      <w:lvlText w:val="%1、"/>
      <w:lvlJc w:val="left"/>
      <w:pPr>
        <w:ind w:left="1744" w:hanging="108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3">
    <w:nsid w:val="5A0A7899"/>
    <w:multiLevelType w:val="multilevel"/>
    <w:tmpl w:val="5A0A7899"/>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6"/>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0CD6"/>
    <w:rsid w:val="00000ADA"/>
    <w:rsid w:val="00002E58"/>
    <w:rsid w:val="00005A0A"/>
    <w:rsid w:val="00016A6A"/>
    <w:rsid w:val="00021982"/>
    <w:rsid w:val="000267BC"/>
    <w:rsid w:val="000300E5"/>
    <w:rsid w:val="000327DB"/>
    <w:rsid w:val="00035507"/>
    <w:rsid w:val="00035EEA"/>
    <w:rsid w:val="0003693A"/>
    <w:rsid w:val="000440C9"/>
    <w:rsid w:val="000536D5"/>
    <w:rsid w:val="0005395D"/>
    <w:rsid w:val="00061151"/>
    <w:rsid w:val="000629AB"/>
    <w:rsid w:val="00066D47"/>
    <w:rsid w:val="0006728E"/>
    <w:rsid w:val="000712BE"/>
    <w:rsid w:val="00076215"/>
    <w:rsid w:val="00093E6A"/>
    <w:rsid w:val="000A30C6"/>
    <w:rsid w:val="000B0292"/>
    <w:rsid w:val="000B2288"/>
    <w:rsid w:val="000B6DE0"/>
    <w:rsid w:val="000C0E76"/>
    <w:rsid w:val="000C11DE"/>
    <w:rsid w:val="000C1E46"/>
    <w:rsid w:val="000C38B3"/>
    <w:rsid w:val="000C66FD"/>
    <w:rsid w:val="000D1AA4"/>
    <w:rsid w:val="000D3506"/>
    <w:rsid w:val="000D543E"/>
    <w:rsid w:val="000E2824"/>
    <w:rsid w:val="000F1438"/>
    <w:rsid w:val="000F3FEB"/>
    <w:rsid w:val="00105ADF"/>
    <w:rsid w:val="00107AB8"/>
    <w:rsid w:val="0011314C"/>
    <w:rsid w:val="0012077A"/>
    <w:rsid w:val="00120F21"/>
    <w:rsid w:val="00123169"/>
    <w:rsid w:val="0012325E"/>
    <w:rsid w:val="001239A0"/>
    <w:rsid w:val="0013104D"/>
    <w:rsid w:val="001330C5"/>
    <w:rsid w:val="00140133"/>
    <w:rsid w:val="001413A1"/>
    <w:rsid w:val="001413CD"/>
    <w:rsid w:val="001416EC"/>
    <w:rsid w:val="00143607"/>
    <w:rsid w:val="00145CCB"/>
    <w:rsid w:val="001522D4"/>
    <w:rsid w:val="00160668"/>
    <w:rsid w:val="00164C38"/>
    <w:rsid w:val="001737E5"/>
    <w:rsid w:val="00174653"/>
    <w:rsid w:val="00177C1B"/>
    <w:rsid w:val="00181CB6"/>
    <w:rsid w:val="00184EC4"/>
    <w:rsid w:val="001909F0"/>
    <w:rsid w:val="00192C7E"/>
    <w:rsid w:val="00192EF7"/>
    <w:rsid w:val="001931B1"/>
    <w:rsid w:val="00195DC7"/>
    <w:rsid w:val="001A0F30"/>
    <w:rsid w:val="001A26CA"/>
    <w:rsid w:val="001A42FA"/>
    <w:rsid w:val="001A613D"/>
    <w:rsid w:val="001A7E40"/>
    <w:rsid w:val="001B32D7"/>
    <w:rsid w:val="001C0810"/>
    <w:rsid w:val="001C1ACC"/>
    <w:rsid w:val="001C2BA9"/>
    <w:rsid w:val="001C3212"/>
    <w:rsid w:val="001C3D1A"/>
    <w:rsid w:val="001C7697"/>
    <w:rsid w:val="001C7CDA"/>
    <w:rsid w:val="001C7FAC"/>
    <w:rsid w:val="001D152B"/>
    <w:rsid w:val="001D2378"/>
    <w:rsid w:val="001D6935"/>
    <w:rsid w:val="001E52A2"/>
    <w:rsid w:val="00200DD9"/>
    <w:rsid w:val="002025DF"/>
    <w:rsid w:val="00203737"/>
    <w:rsid w:val="00203810"/>
    <w:rsid w:val="00211037"/>
    <w:rsid w:val="00211148"/>
    <w:rsid w:val="002123A4"/>
    <w:rsid w:val="00213B89"/>
    <w:rsid w:val="002203DE"/>
    <w:rsid w:val="00222002"/>
    <w:rsid w:val="0022321A"/>
    <w:rsid w:val="00224D10"/>
    <w:rsid w:val="002306C0"/>
    <w:rsid w:val="00231F62"/>
    <w:rsid w:val="00237B79"/>
    <w:rsid w:val="00240A9A"/>
    <w:rsid w:val="00240D37"/>
    <w:rsid w:val="00242D8B"/>
    <w:rsid w:val="0024339D"/>
    <w:rsid w:val="00261CEC"/>
    <w:rsid w:val="0026580C"/>
    <w:rsid w:val="00274C2E"/>
    <w:rsid w:val="00276752"/>
    <w:rsid w:val="00281C2A"/>
    <w:rsid w:val="00282DFB"/>
    <w:rsid w:val="002842C6"/>
    <w:rsid w:val="002847D6"/>
    <w:rsid w:val="0028519F"/>
    <w:rsid w:val="0028788C"/>
    <w:rsid w:val="00290D9E"/>
    <w:rsid w:val="00291EFE"/>
    <w:rsid w:val="00293B9E"/>
    <w:rsid w:val="002948CA"/>
    <w:rsid w:val="00294A48"/>
    <w:rsid w:val="002A7900"/>
    <w:rsid w:val="002A79E1"/>
    <w:rsid w:val="002C4663"/>
    <w:rsid w:val="002D1DB7"/>
    <w:rsid w:val="002D21F5"/>
    <w:rsid w:val="002D270D"/>
    <w:rsid w:val="002D2C46"/>
    <w:rsid w:val="002D705E"/>
    <w:rsid w:val="002E0A5C"/>
    <w:rsid w:val="002E13EB"/>
    <w:rsid w:val="002E4B3D"/>
    <w:rsid w:val="00312572"/>
    <w:rsid w:val="00313F40"/>
    <w:rsid w:val="00316F98"/>
    <w:rsid w:val="00317CA2"/>
    <w:rsid w:val="00320F5C"/>
    <w:rsid w:val="003256E3"/>
    <w:rsid w:val="003308C0"/>
    <w:rsid w:val="0033190B"/>
    <w:rsid w:val="00333589"/>
    <w:rsid w:val="00334979"/>
    <w:rsid w:val="003468D4"/>
    <w:rsid w:val="0035366F"/>
    <w:rsid w:val="00354FFA"/>
    <w:rsid w:val="0035562F"/>
    <w:rsid w:val="0035634A"/>
    <w:rsid w:val="00357CDA"/>
    <w:rsid w:val="00362C46"/>
    <w:rsid w:val="00363AB3"/>
    <w:rsid w:val="00365532"/>
    <w:rsid w:val="003706EE"/>
    <w:rsid w:val="00374F74"/>
    <w:rsid w:val="00380965"/>
    <w:rsid w:val="00381CF8"/>
    <w:rsid w:val="003856A4"/>
    <w:rsid w:val="003A6E41"/>
    <w:rsid w:val="003B0B23"/>
    <w:rsid w:val="003B0CE2"/>
    <w:rsid w:val="003B1335"/>
    <w:rsid w:val="003B7E10"/>
    <w:rsid w:val="003C2E95"/>
    <w:rsid w:val="003C41F5"/>
    <w:rsid w:val="003C640A"/>
    <w:rsid w:val="003C68D3"/>
    <w:rsid w:val="003D2CAD"/>
    <w:rsid w:val="003D33AD"/>
    <w:rsid w:val="003D3AC5"/>
    <w:rsid w:val="003D50DC"/>
    <w:rsid w:val="003D5DDC"/>
    <w:rsid w:val="003D6021"/>
    <w:rsid w:val="003D6A10"/>
    <w:rsid w:val="003D7982"/>
    <w:rsid w:val="003E0094"/>
    <w:rsid w:val="003E04F8"/>
    <w:rsid w:val="003E0701"/>
    <w:rsid w:val="003E1862"/>
    <w:rsid w:val="003E5478"/>
    <w:rsid w:val="003E5EDB"/>
    <w:rsid w:val="003F1C33"/>
    <w:rsid w:val="003F358C"/>
    <w:rsid w:val="003F46B6"/>
    <w:rsid w:val="003F62B0"/>
    <w:rsid w:val="003F77BB"/>
    <w:rsid w:val="00406B2B"/>
    <w:rsid w:val="00420572"/>
    <w:rsid w:val="004320DA"/>
    <w:rsid w:val="004330D6"/>
    <w:rsid w:val="004336E4"/>
    <w:rsid w:val="00434304"/>
    <w:rsid w:val="00434608"/>
    <w:rsid w:val="004470F1"/>
    <w:rsid w:val="00447F9F"/>
    <w:rsid w:val="004550C6"/>
    <w:rsid w:val="004558E7"/>
    <w:rsid w:val="0046456B"/>
    <w:rsid w:val="00481F56"/>
    <w:rsid w:val="004824BF"/>
    <w:rsid w:val="004829AD"/>
    <w:rsid w:val="00484583"/>
    <w:rsid w:val="0049367B"/>
    <w:rsid w:val="004B274F"/>
    <w:rsid w:val="004B3BD2"/>
    <w:rsid w:val="004B670E"/>
    <w:rsid w:val="004C2747"/>
    <w:rsid w:val="004C745A"/>
    <w:rsid w:val="004D1BBF"/>
    <w:rsid w:val="004D2B14"/>
    <w:rsid w:val="004D45AD"/>
    <w:rsid w:val="004D45DE"/>
    <w:rsid w:val="004D5AC3"/>
    <w:rsid w:val="004E0411"/>
    <w:rsid w:val="004E52FF"/>
    <w:rsid w:val="004E5CFE"/>
    <w:rsid w:val="004E7964"/>
    <w:rsid w:val="004F36D8"/>
    <w:rsid w:val="004F5400"/>
    <w:rsid w:val="005077C2"/>
    <w:rsid w:val="00510D37"/>
    <w:rsid w:val="005117B1"/>
    <w:rsid w:val="005123EA"/>
    <w:rsid w:val="00513852"/>
    <w:rsid w:val="00514DF5"/>
    <w:rsid w:val="00525144"/>
    <w:rsid w:val="005276D1"/>
    <w:rsid w:val="00530C7F"/>
    <w:rsid w:val="00533B3D"/>
    <w:rsid w:val="00533DA6"/>
    <w:rsid w:val="00534868"/>
    <w:rsid w:val="00535A1D"/>
    <w:rsid w:val="0053622F"/>
    <w:rsid w:val="00536A46"/>
    <w:rsid w:val="00537D14"/>
    <w:rsid w:val="005427FD"/>
    <w:rsid w:val="00544320"/>
    <w:rsid w:val="0054792F"/>
    <w:rsid w:val="00547C08"/>
    <w:rsid w:val="0055146D"/>
    <w:rsid w:val="00553FF1"/>
    <w:rsid w:val="0055698E"/>
    <w:rsid w:val="00560156"/>
    <w:rsid w:val="0056532B"/>
    <w:rsid w:val="005670F0"/>
    <w:rsid w:val="005705F1"/>
    <w:rsid w:val="00574F33"/>
    <w:rsid w:val="00575D35"/>
    <w:rsid w:val="005802A5"/>
    <w:rsid w:val="00580DB1"/>
    <w:rsid w:val="00583988"/>
    <w:rsid w:val="00587184"/>
    <w:rsid w:val="00590AD3"/>
    <w:rsid w:val="00591177"/>
    <w:rsid w:val="005921BF"/>
    <w:rsid w:val="0059323F"/>
    <w:rsid w:val="005A081A"/>
    <w:rsid w:val="005A2F0A"/>
    <w:rsid w:val="005A65FB"/>
    <w:rsid w:val="005B2B7F"/>
    <w:rsid w:val="005C1DB1"/>
    <w:rsid w:val="005C3498"/>
    <w:rsid w:val="005D1ED4"/>
    <w:rsid w:val="005D56A6"/>
    <w:rsid w:val="005D6BF0"/>
    <w:rsid w:val="005D6C2A"/>
    <w:rsid w:val="005D7AAE"/>
    <w:rsid w:val="005D7CBE"/>
    <w:rsid w:val="005F1830"/>
    <w:rsid w:val="005F3ED8"/>
    <w:rsid w:val="005F45E2"/>
    <w:rsid w:val="005F5C53"/>
    <w:rsid w:val="005F71D0"/>
    <w:rsid w:val="00600BD9"/>
    <w:rsid w:val="00603E56"/>
    <w:rsid w:val="00605C91"/>
    <w:rsid w:val="00606728"/>
    <w:rsid w:val="00607B91"/>
    <w:rsid w:val="00612F09"/>
    <w:rsid w:val="00624F06"/>
    <w:rsid w:val="00625D58"/>
    <w:rsid w:val="0062799E"/>
    <w:rsid w:val="00627CC7"/>
    <w:rsid w:val="00627CE9"/>
    <w:rsid w:val="006404ED"/>
    <w:rsid w:val="00640BE5"/>
    <w:rsid w:val="00654F9F"/>
    <w:rsid w:val="006558B3"/>
    <w:rsid w:val="00665930"/>
    <w:rsid w:val="00666F11"/>
    <w:rsid w:val="00670ADC"/>
    <w:rsid w:val="00671AAC"/>
    <w:rsid w:val="00675DF9"/>
    <w:rsid w:val="006818A2"/>
    <w:rsid w:val="00682931"/>
    <w:rsid w:val="006831F5"/>
    <w:rsid w:val="00683896"/>
    <w:rsid w:val="00691335"/>
    <w:rsid w:val="0069376E"/>
    <w:rsid w:val="006A035C"/>
    <w:rsid w:val="006A69ED"/>
    <w:rsid w:val="006B15C9"/>
    <w:rsid w:val="006B354A"/>
    <w:rsid w:val="006C6389"/>
    <w:rsid w:val="006D385D"/>
    <w:rsid w:val="006D435A"/>
    <w:rsid w:val="006D4E9C"/>
    <w:rsid w:val="006D7D5D"/>
    <w:rsid w:val="006E0C2B"/>
    <w:rsid w:val="006E1A49"/>
    <w:rsid w:val="006E3F83"/>
    <w:rsid w:val="006E4050"/>
    <w:rsid w:val="006E546E"/>
    <w:rsid w:val="006F0724"/>
    <w:rsid w:val="006F2CB4"/>
    <w:rsid w:val="006F344B"/>
    <w:rsid w:val="0070113A"/>
    <w:rsid w:val="00705FC7"/>
    <w:rsid w:val="00707CF9"/>
    <w:rsid w:val="007112FB"/>
    <w:rsid w:val="0071173B"/>
    <w:rsid w:val="00711B82"/>
    <w:rsid w:val="007231DE"/>
    <w:rsid w:val="00723B83"/>
    <w:rsid w:val="00723D4C"/>
    <w:rsid w:val="00726C43"/>
    <w:rsid w:val="00751276"/>
    <w:rsid w:val="00751880"/>
    <w:rsid w:val="00752E04"/>
    <w:rsid w:val="00753C8E"/>
    <w:rsid w:val="00756405"/>
    <w:rsid w:val="00757E07"/>
    <w:rsid w:val="00760FD0"/>
    <w:rsid w:val="0076585B"/>
    <w:rsid w:val="007660F7"/>
    <w:rsid w:val="007731FB"/>
    <w:rsid w:val="00776E6A"/>
    <w:rsid w:val="00780CF1"/>
    <w:rsid w:val="007827CE"/>
    <w:rsid w:val="00784929"/>
    <w:rsid w:val="00790A2C"/>
    <w:rsid w:val="00791065"/>
    <w:rsid w:val="007911FB"/>
    <w:rsid w:val="00791218"/>
    <w:rsid w:val="00791E0A"/>
    <w:rsid w:val="007A044A"/>
    <w:rsid w:val="007A17E6"/>
    <w:rsid w:val="007A3F4B"/>
    <w:rsid w:val="007C4094"/>
    <w:rsid w:val="007D0DAE"/>
    <w:rsid w:val="007D444A"/>
    <w:rsid w:val="007D4450"/>
    <w:rsid w:val="007D465A"/>
    <w:rsid w:val="007D581D"/>
    <w:rsid w:val="007D607B"/>
    <w:rsid w:val="007D7274"/>
    <w:rsid w:val="007E37E4"/>
    <w:rsid w:val="007E55E7"/>
    <w:rsid w:val="007F4DE5"/>
    <w:rsid w:val="007F67C0"/>
    <w:rsid w:val="007F7795"/>
    <w:rsid w:val="008003A2"/>
    <w:rsid w:val="00800B15"/>
    <w:rsid w:val="008041EB"/>
    <w:rsid w:val="00804FEA"/>
    <w:rsid w:val="00814127"/>
    <w:rsid w:val="00814B71"/>
    <w:rsid w:val="00820A62"/>
    <w:rsid w:val="00823424"/>
    <w:rsid w:val="008254B4"/>
    <w:rsid w:val="00826712"/>
    <w:rsid w:val="00832760"/>
    <w:rsid w:val="0083509E"/>
    <w:rsid w:val="00843061"/>
    <w:rsid w:val="00851C8A"/>
    <w:rsid w:val="008553A8"/>
    <w:rsid w:val="008571EA"/>
    <w:rsid w:val="0086677A"/>
    <w:rsid w:val="008703A0"/>
    <w:rsid w:val="0087131B"/>
    <w:rsid w:val="00872C24"/>
    <w:rsid w:val="008738EF"/>
    <w:rsid w:val="00876921"/>
    <w:rsid w:val="0088163F"/>
    <w:rsid w:val="00883893"/>
    <w:rsid w:val="00883926"/>
    <w:rsid w:val="00887033"/>
    <w:rsid w:val="00893A84"/>
    <w:rsid w:val="008A112D"/>
    <w:rsid w:val="008B4510"/>
    <w:rsid w:val="008B6A3B"/>
    <w:rsid w:val="008C5A8A"/>
    <w:rsid w:val="008D2150"/>
    <w:rsid w:val="008D6224"/>
    <w:rsid w:val="008D6FC5"/>
    <w:rsid w:val="008E1EF8"/>
    <w:rsid w:val="008E2665"/>
    <w:rsid w:val="008E41D8"/>
    <w:rsid w:val="008F2D7B"/>
    <w:rsid w:val="008F6E40"/>
    <w:rsid w:val="008F6E77"/>
    <w:rsid w:val="008F77E6"/>
    <w:rsid w:val="00901D75"/>
    <w:rsid w:val="00913FEC"/>
    <w:rsid w:val="0091526E"/>
    <w:rsid w:val="00916B5F"/>
    <w:rsid w:val="009224A3"/>
    <w:rsid w:val="00922EC5"/>
    <w:rsid w:val="00923E02"/>
    <w:rsid w:val="00926677"/>
    <w:rsid w:val="009341B1"/>
    <w:rsid w:val="00942DDD"/>
    <w:rsid w:val="009458BE"/>
    <w:rsid w:val="00947165"/>
    <w:rsid w:val="0094777D"/>
    <w:rsid w:val="00957678"/>
    <w:rsid w:val="009638DF"/>
    <w:rsid w:val="0096626C"/>
    <w:rsid w:val="00967F5B"/>
    <w:rsid w:val="00970AA5"/>
    <w:rsid w:val="00975566"/>
    <w:rsid w:val="00976ED5"/>
    <w:rsid w:val="00981983"/>
    <w:rsid w:val="00985310"/>
    <w:rsid w:val="009926EC"/>
    <w:rsid w:val="00993D17"/>
    <w:rsid w:val="00995C3D"/>
    <w:rsid w:val="00996781"/>
    <w:rsid w:val="009B5FAD"/>
    <w:rsid w:val="009C0C5C"/>
    <w:rsid w:val="009C0E79"/>
    <w:rsid w:val="009C1D6D"/>
    <w:rsid w:val="009C373D"/>
    <w:rsid w:val="009C464A"/>
    <w:rsid w:val="009C6280"/>
    <w:rsid w:val="009D08A6"/>
    <w:rsid w:val="009D133E"/>
    <w:rsid w:val="009D1E01"/>
    <w:rsid w:val="009D21E9"/>
    <w:rsid w:val="009E15D9"/>
    <w:rsid w:val="009E208F"/>
    <w:rsid w:val="009E5D27"/>
    <w:rsid w:val="009F03B3"/>
    <w:rsid w:val="009F461D"/>
    <w:rsid w:val="00A02331"/>
    <w:rsid w:val="00A0258C"/>
    <w:rsid w:val="00A06270"/>
    <w:rsid w:val="00A139CA"/>
    <w:rsid w:val="00A16A24"/>
    <w:rsid w:val="00A2062E"/>
    <w:rsid w:val="00A23286"/>
    <w:rsid w:val="00A261CB"/>
    <w:rsid w:val="00A3339F"/>
    <w:rsid w:val="00A34D91"/>
    <w:rsid w:val="00A34F7C"/>
    <w:rsid w:val="00A4683C"/>
    <w:rsid w:val="00A46F1D"/>
    <w:rsid w:val="00A50C09"/>
    <w:rsid w:val="00A543EC"/>
    <w:rsid w:val="00A5627C"/>
    <w:rsid w:val="00A567B9"/>
    <w:rsid w:val="00A56C39"/>
    <w:rsid w:val="00A623FD"/>
    <w:rsid w:val="00A64EAA"/>
    <w:rsid w:val="00A729F4"/>
    <w:rsid w:val="00A738A7"/>
    <w:rsid w:val="00A77FCB"/>
    <w:rsid w:val="00A81639"/>
    <w:rsid w:val="00A85024"/>
    <w:rsid w:val="00A87458"/>
    <w:rsid w:val="00A90710"/>
    <w:rsid w:val="00A912D0"/>
    <w:rsid w:val="00A91C51"/>
    <w:rsid w:val="00A95F70"/>
    <w:rsid w:val="00AA1606"/>
    <w:rsid w:val="00AA1670"/>
    <w:rsid w:val="00AA5951"/>
    <w:rsid w:val="00AB4621"/>
    <w:rsid w:val="00AB6ACB"/>
    <w:rsid w:val="00AB7A92"/>
    <w:rsid w:val="00AC2210"/>
    <w:rsid w:val="00AC634A"/>
    <w:rsid w:val="00AD1136"/>
    <w:rsid w:val="00AD3844"/>
    <w:rsid w:val="00AD6D3F"/>
    <w:rsid w:val="00AD6E8A"/>
    <w:rsid w:val="00AE53A8"/>
    <w:rsid w:val="00AE7662"/>
    <w:rsid w:val="00AE79FC"/>
    <w:rsid w:val="00AF0525"/>
    <w:rsid w:val="00AF0932"/>
    <w:rsid w:val="00AF2A10"/>
    <w:rsid w:val="00AF4E1F"/>
    <w:rsid w:val="00B02B52"/>
    <w:rsid w:val="00B03E31"/>
    <w:rsid w:val="00B043B2"/>
    <w:rsid w:val="00B046A4"/>
    <w:rsid w:val="00B10F11"/>
    <w:rsid w:val="00B1752F"/>
    <w:rsid w:val="00B279C1"/>
    <w:rsid w:val="00B27C4D"/>
    <w:rsid w:val="00B3157C"/>
    <w:rsid w:val="00B3319A"/>
    <w:rsid w:val="00B46D44"/>
    <w:rsid w:val="00B473D1"/>
    <w:rsid w:val="00B5342D"/>
    <w:rsid w:val="00B54B40"/>
    <w:rsid w:val="00B551EC"/>
    <w:rsid w:val="00B56E4B"/>
    <w:rsid w:val="00B61883"/>
    <w:rsid w:val="00B62781"/>
    <w:rsid w:val="00B644FD"/>
    <w:rsid w:val="00B6465D"/>
    <w:rsid w:val="00B67B0B"/>
    <w:rsid w:val="00B724EE"/>
    <w:rsid w:val="00B775C1"/>
    <w:rsid w:val="00B77E3C"/>
    <w:rsid w:val="00B903A6"/>
    <w:rsid w:val="00B94CEE"/>
    <w:rsid w:val="00BC6572"/>
    <w:rsid w:val="00BD2CB7"/>
    <w:rsid w:val="00BE056C"/>
    <w:rsid w:val="00BE4356"/>
    <w:rsid w:val="00BE4B3A"/>
    <w:rsid w:val="00BE70BB"/>
    <w:rsid w:val="00BE7918"/>
    <w:rsid w:val="00BF0F87"/>
    <w:rsid w:val="00BF4CDE"/>
    <w:rsid w:val="00BF6419"/>
    <w:rsid w:val="00C005F4"/>
    <w:rsid w:val="00C030CF"/>
    <w:rsid w:val="00C10F77"/>
    <w:rsid w:val="00C13FC4"/>
    <w:rsid w:val="00C16FA9"/>
    <w:rsid w:val="00C17E04"/>
    <w:rsid w:val="00C17ECB"/>
    <w:rsid w:val="00C41C43"/>
    <w:rsid w:val="00C42314"/>
    <w:rsid w:val="00C42660"/>
    <w:rsid w:val="00C44E9D"/>
    <w:rsid w:val="00C559B4"/>
    <w:rsid w:val="00C70F18"/>
    <w:rsid w:val="00C817C0"/>
    <w:rsid w:val="00C82070"/>
    <w:rsid w:val="00C93DC1"/>
    <w:rsid w:val="00C979DD"/>
    <w:rsid w:val="00CA0453"/>
    <w:rsid w:val="00CA0CD6"/>
    <w:rsid w:val="00CA4910"/>
    <w:rsid w:val="00CA76A0"/>
    <w:rsid w:val="00CB45F6"/>
    <w:rsid w:val="00CB475D"/>
    <w:rsid w:val="00CC0EF1"/>
    <w:rsid w:val="00CC2124"/>
    <w:rsid w:val="00CD1617"/>
    <w:rsid w:val="00CD1DDD"/>
    <w:rsid w:val="00CD3192"/>
    <w:rsid w:val="00CE399C"/>
    <w:rsid w:val="00CF2588"/>
    <w:rsid w:val="00CF37B8"/>
    <w:rsid w:val="00CF3DD7"/>
    <w:rsid w:val="00D02425"/>
    <w:rsid w:val="00D02E63"/>
    <w:rsid w:val="00D04676"/>
    <w:rsid w:val="00D1275B"/>
    <w:rsid w:val="00D14B90"/>
    <w:rsid w:val="00D1530E"/>
    <w:rsid w:val="00D15F89"/>
    <w:rsid w:val="00D169A5"/>
    <w:rsid w:val="00D17A78"/>
    <w:rsid w:val="00D20D69"/>
    <w:rsid w:val="00D2201F"/>
    <w:rsid w:val="00D250C3"/>
    <w:rsid w:val="00D258AB"/>
    <w:rsid w:val="00D26F31"/>
    <w:rsid w:val="00D27AE9"/>
    <w:rsid w:val="00D309ED"/>
    <w:rsid w:val="00D32245"/>
    <w:rsid w:val="00D33654"/>
    <w:rsid w:val="00D37189"/>
    <w:rsid w:val="00D422D8"/>
    <w:rsid w:val="00D422E4"/>
    <w:rsid w:val="00D44285"/>
    <w:rsid w:val="00D47292"/>
    <w:rsid w:val="00D47809"/>
    <w:rsid w:val="00D52B09"/>
    <w:rsid w:val="00D53D03"/>
    <w:rsid w:val="00D575BC"/>
    <w:rsid w:val="00D57EB7"/>
    <w:rsid w:val="00D60B91"/>
    <w:rsid w:val="00D64FAA"/>
    <w:rsid w:val="00D803DA"/>
    <w:rsid w:val="00D8069F"/>
    <w:rsid w:val="00D82E42"/>
    <w:rsid w:val="00D83BE3"/>
    <w:rsid w:val="00D86570"/>
    <w:rsid w:val="00D86B01"/>
    <w:rsid w:val="00D91A19"/>
    <w:rsid w:val="00D91BF8"/>
    <w:rsid w:val="00D947FF"/>
    <w:rsid w:val="00D94AE8"/>
    <w:rsid w:val="00D9769C"/>
    <w:rsid w:val="00DA0233"/>
    <w:rsid w:val="00DA38B8"/>
    <w:rsid w:val="00DA46AF"/>
    <w:rsid w:val="00DA55F7"/>
    <w:rsid w:val="00DA5A35"/>
    <w:rsid w:val="00DA77E9"/>
    <w:rsid w:val="00DB2E30"/>
    <w:rsid w:val="00DB6E52"/>
    <w:rsid w:val="00DC3326"/>
    <w:rsid w:val="00DC6E08"/>
    <w:rsid w:val="00DC7FAC"/>
    <w:rsid w:val="00DD0577"/>
    <w:rsid w:val="00DE15D0"/>
    <w:rsid w:val="00DE50EA"/>
    <w:rsid w:val="00DF5B70"/>
    <w:rsid w:val="00DF6685"/>
    <w:rsid w:val="00E00753"/>
    <w:rsid w:val="00E04F6B"/>
    <w:rsid w:val="00E0517D"/>
    <w:rsid w:val="00E13886"/>
    <w:rsid w:val="00E2008C"/>
    <w:rsid w:val="00E20218"/>
    <w:rsid w:val="00E229FA"/>
    <w:rsid w:val="00E27888"/>
    <w:rsid w:val="00E3378E"/>
    <w:rsid w:val="00E34CEC"/>
    <w:rsid w:val="00E40523"/>
    <w:rsid w:val="00E408D8"/>
    <w:rsid w:val="00E42886"/>
    <w:rsid w:val="00E45FFC"/>
    <w:rsid w:val="00E472DD"/>
    <w:rsid w:val="00E5075A"/>
    <w:rsid w:val="00E61BC2"/>
    <w:rsid w:val="00E658C1"/>
    <w:rsid w:val="00E67263"/>
    <w:rsid w:val="00E806CE"/>
    <w:rsid w:val="00E81415"/>
    <w:rsid w:val="00E8395D"/>
    <w:rsid w:val="00E84082"/>
    <w:rsid w:val="00E90A41"/>
    <w:rsid w:val="00E97F25"/>
    <w:rsid w:val="00EA3948"/>
    <w:rsid w:val="00EA4453"/>
    <w:rsid w:val="00EA5E11"/>
    <w:rsid w:val="00EA61C3"/>
    <w:rsid w:val="00EA73F9"/>
    <w:rsid w:val="00EB4FF3"/>
    <w:rsid w:val="00EB7CBE"/>
    <w:rsid w:val="00EC586F"/>
    <w:rsid w:val="00EC7AA6"/>
    <w:rsid w:val="00ED264E"/>
    <w:rsid w:val="00ED7350"/>
    <w:rsid w:val="00EE08C0"/>
    <w:rsid w:val="00EE13FB"/>
    <w:rsid w:val="00EE17A1"/>
    <w:rsid w:val="00EE2F67"/>
    <w:rsid w:val="00EE38BD"/>
    <w:rsid w:val="00EE7B71"/>
    <w:rsid w:val="00EF7197"/>
    <w:rsid w:val="00F041DB"/>
    <w:rsid w:val="00F11FBF"/>
    <w:rsid w:val="00F1425E"/>
    <w:rsid w:val="00F2528B"/>
    <w:rsid w:val="00F2730F"/>
    <w:rsid w:val="00F46D93"/>
    <w:rsid w:val="00F477C8"/>
    <w:rsid w:val="00F47BD0"/>
    <w:rsid w:val="00F52449"/>
    <w:rsid w:val="00F635B0"/>
    <w:rsid w:val="00F64681"/>
    <w:rsid w:val="00F65AFA"/>
    <w:rsid w:val="00F71787"/>
    <w:rsid w:val="00F750D7"/>
    <w:rsid w:val="00F77974"/>
    <w:rsid w:val="00F93EE0"/>
    <w:rsid w:val="00F9597D"/>
    <w:rsid w:val="00FB01A4"/>
    <w:rsid w:val="00FB0AB0"/>
    <w:rsid w:val="00FB277B"/>
    <w:rsid w:val="00FB553E"/>
    <w:rsid w:val="00FB676F"/>
    <w:rsid w:val="00FB7C03"/>
    <w:rsid w:val="00FC1160"/>
    <w:rsid w:val="00FC6055"/>
    <w:rsid w:val="00FC72A0"/>
    <w:rsid w:val="00FD4C83"/>
    <w:rsid w:val="00FD68DE"/>
    <w:rsid w:val="00FE0C26"/>
    <w:rsid w:val="00FE102C"/>
    <w:rsid w:val="00FE4455"/>
    <w:rsid w:val="00FF43B1"/>
    <w:rsid w:val="00FF4E1B"/>
    <w:rsid w:val="08C806E4"/>
    <w:rsid w:val="10630746"/>
    <w:rsid w:val="1B631D1C"/>
    <w:rsid w:val="3D6A58D6"/>
    <w:rsid w:val="59D056BA"/>
    <w:rsid w:val="7732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32"/>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tLeast"/>
      <w:outlineLvl w:val="1"/>
    </w:pPr>
    <w:rPr>
      <w:rFonts w:ascii="Cambria" w:hAnsi="Cambria" w:eastAsia="宋体"/>
      <w:b/>
      <w:bCs/>
      <w:sz w:val="32"/>
      <w:szCs w:val="32"/>
    </w:rPr>
  </w:style>
  <w:style w:type="paragraph" w:styleId="4">
    <w:name w:val="heading 3"/>
    <w:basedOn w:val="1"/>
    <w:next w:val="1"/>
    <w:link w:val="44"/>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tLeast"/>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7">
    <w:name w:val="Document Map"/>
    <w:basedOn w:val="1"/>
    <w:link w:val="40"/>
    <w:semiHidden/>
    <w:unhideWhenUsed/>
    <w:qFormat/>
    <w:uiPriority w:val="99"/>
    <w:rPr>
      <w:rFonts w:eastAsia="宋体"/>
      <w:sz w:val="18"/>
      <w:szCs w:val="18"/>
    </w:rPr>
  </w:style>
  <w:style w:type="paragraph" w:styleId="8">
    <w:name w:val="toc 3"/>
    <w:basedOn w:val="1"/>
    <w:next w:val="1"/>
    <w:unhideWhenUsed/>
    <w:qFormat/>
    <w:uiPriority w:val="39"/>
    <w:pPr>
      <w:widowControl/>
      <w:tabs>
        <w:tab w:val="right" w:leader="dot" w:pos="8296"/>
      </w:tabs>
      <w:autoSpaceDE/>
      <w:autoSpaceDN/>
      <w:adjustRightInd/>
      <w:snapToGrid/>
      <w:spacing w:after="100" w:line="276" w:lineRule="auto"/>
      <w:ind w:left="440"/>
      <w:jc w:val="left"/>
    </w:pPr>
    <w:rPr>
      <w:rFonts w:asciiTheme="minorHAnsi" w:hAnsiTheme="minorHAnsi" w:eastAsiaTheme="majorEastAsia" w:cstheme="majorEastAsia"/>
      <w:spacing w:val="0"/>
      <w:kern w:val="0"/>
      <w:sz w:val="22"/>
      <w:szCs w:val="22"/>
    </w:rPr>
  </w:style>
  <w:style w:type="paragraph" w:styleId="9">
    <w:name w:val="Date"/>
    <w:basedOn w:val="1"/>
    <w:next w:val="1"/>
    <w:link w:val="35"/>
    <w:semiHidden/>
    <w:unhideWhenUsed/>
    <w:qFormat/>
    <w:uiPriority w:val="99"/>
    <w:pPr>
      <w:ind w:left="100" w:leftChars="2500"/>
    </w:pPr>
  </w:style>
  <w:style w:type="paragraph" w:styleId="10">
    <w:name w:val="Balloon Text"/>
    <w:basedOn w:val="1"/>
    <w:link w:val="34"/>
    <w:semiHidden/>
    <w:unhideWhenUsed/>
    <w:qFormat/>
    <w:uiPriority w:val="99"/>
    <w:pPr>
      <w:spacing w:line="240" w:lineRule="auto"/>
    </w:pPr>
    <w:rPr>
      <w:sz w:val="18"/>
      <w:szCs w:val="18"/>
    </w:rPr>
  </w:style>
  <w:style w:type="paragraph" w:styleId="11">
    <w:name w:val="footer"/>
    <w:basedOn w:val="1"/>
    <w:link w:val="41"/>
    <w:unhideWhenUsed/>
    <w:uiPriority w:val="99"/>
    <w:pPr>
      <w:tabs>
        <w:tab w:val="center" w:pos="4153"/>
        <w:tab w:val="right" w:pos="8306"/>
      </w:tabs>
      <w:spacing w:line="240" w:lineRule="atLeast"/>
      <w:jc w:val="left"/>
    </w:pPr>
    <w:rPr>
      <w:sz w:val="18"/>
      <w:szCs w:val="18"/>
    </w:rPr>
  </w:style>
  <w:style w:type="paragraph" w:styleId="12">
    <w:name w:val="header"/>
    <w:basedOn w:val="1"/>
    <w:link w:val="33"/>
    <w:unhideWhenUsed/>
    <w:qFormat/>
    <w:uiPriority w:val="0"/>
    <w:pPr>
      <w:pBdr>
        <w:bottom w:val="single" w:color="auto" w:sz="6" w:space="1"/>
      </w:pBdr>
      <w:tabs>
        <w:tab w:val="center" w:pos="4153"/>
        <w:tab w:val="right" w:pos="8306"/>
      </w:tabs>
      <w:autoSpaceDE/>
      <w:autoSpaceDN/>
      <w:adjustRightInd/>
      <w:spacing w:line="240" w:lineRule="auto"/>
      <w:jc w:val="center"/>
    </w:pPr>
    <w:rPr>
      <w:rFonts w:asciiTheme="minorHAnsi" w:hAnsiTheme="minorHAnsi" w:eastAsiaTheme="minorEastAsia" w:cstheme="minorBidi"/>
      <w:spacing w:val="0"/>
      <w:sz w:val="18"/>
      <w:szCs w:val="18"/>
    </w:rPr>
  </w:style>
  <w:style w:type="paragraph" w:styleId="13">
    <w:name w:val="toc 1"/>
    <w:basedOn w:val="1"/>
    <w:next w:val="1"/>
    <w:unhideWhenUsed/>
    <w:qFormat/>
    <w:uiPriority w:val="39"/>
    <w:rPr>
      <w:rFonts w:eastAsia="黑体" w:cs="黑体" w:asciiTheme="minorHAnsi" w:hAnsiTheme="minorHAnsi"/>
      <w:sz w:val="22"/>
      <w:szCs w:val="22"/>
    </w:rPr>
  </w:style>
  <w:style w:type="paragraph" w:styleId="14">
    <w:name w:val="toc 4"/>
    <w:basedOn w:val="1"/>
    <w:next w:val="1"/>
    <w:semiHidden/>
    <w:unhideWhenUsed/>
    <w:qFormat/>
    <w:uiPriority w:val="39"/>
    <w:pPr>
      <w:ind w:left="1260" w:leftChars="600"/>
    </w:pPr>
  </w:style>
  <w:style w:type="paragraph" w:styleId="15">
    <w:name w:val="toc 2"/>
    <w:basedOn w:val="13"/>
    <w:next w:val="1"/>
    <w:unhideWhenUsed/>
    <w:qFormat/>
    <w:uiPriority w:val="39"/>
    <w:pPr>
      <w:tabs>
        <w:tab w:val="left" w:pos="567"/>
        <w:tab w:val="right" w:leader="dot" w:pos="8296"/>
      </w:tabs>
      <w:ind w:firstLine="220" w:firstLineChars="100"/>
    </w:pPr>
  </w:style>
  <w:style w:type="paragraph" w:styleId="16">
    <w:name w:val="Normal (Web)"/>
    <w:basedOn w:val="1"/>
    <w:unhideWhenUsed/>
    <w:qFormat/>
    <w:uiPriority w:val="99"/>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table" w:styleId="18">
    <w:name w:val="Table Grid"/>
    <w:basedOn w:val="17"/>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unhideWhenUsed/>
    <w:uiPriority w:val="99"/>
    <w:rPr>
      <w:color w:val="0000FF" w:themeColor="hyperlink"/>
      <w:u w:val="single"/>
    </w:rPr>
  </w:style>
  <w:style w:type="paragraph" w:customStyle="1" w:styleId="22">
    <w:name w:val="列出段落1"/>
    <w:basedOn w:val="1"/>
    <w:qFormat/>
    <w:uiPriority w:val="34"/>
    <w:pPr>
      <w:autoSpaceDE/>
      <w:autoSpaceDN/>
      <w:adjustRightInd/>
      <w:snapToGrid/>
      <w:spacing w:line="240" w:lineRule="auto"/>
      <w:ind w:firstLine="420" w:firstLineChars="200"/>
    </w:pPr>
    <w:rPr>
      <w:rFonts w:ascii="Calibri" w:hAnsi="Calibri" w:eastAsia="宋体"/>
      <w:spacing w:val="0"/>
      <w:sz w:val="21"/>
      <w:szCs w:val="22"/>
    </w:rPr>
  </w:style>
  <w:style w:type="paragraph" w:customStyle="1" w:styleId="23">
    <w:name w:val="标题2"/>
    <w:basedOn w:val="3"/>
    <w:link w:val="25"/>
    <w:qFormat/>
    <w:uiPriority w:val="0"/>
    <w:pPr>
      <w:autoSpaceDE/>
      <w:autoSpaceDN/>
      <w:adjustRightInd/>
      <w:snapToGrid/>
      <w:spacing w:before="0" w:after="0" w:line="360" w:lineRule="auto"/>
      <w:ind w:firstLine="600" w:firstLineChars="200"/>
    </w:pPr>
    <w:rPr>
      <w:rFonts w:ascii="黑体" w:eastAsia="黑体" w:cs="Cambria"/>
      <w:b w:val="0"/>
      <w:spacing w:val="0"/>
      <w:szCs w:val="30"/>
    </w:rPr>
  </w:style>
  <w:style w:type="paragraph" w:customStyle="1" w:styleId="24">
    <w:name w:val="标题3"/>
    <w:basedOn w:val="1"/>
    <w:link w:val="27"/>
    <w:qFormat/>
    <w:uiPriority w:val="0"/>
    <w:pPr>
      <w:spacing w:line="580" w:lineRule="exact"/>
      <w:ind w:firstLine="200" w:firstLineChars="200"/>
      <w:jc w:val="left"/>
    </w:pPr>
    <w:rPr>
      <w:rFonts w:eastAsia="楷体_GB2312" w:cs="仿宋"/>
      <w:sz w:val="32"/>
      <w:szCs w:val="30"/>
    </w:rPr>
  </w:style>
  <w:style w:type="character" w:customStyle="1" w:styleId="25">
    <w:name w:val="标题2 Char"/>
    <w:basedOn w:val="26"/>
    <w:link w:val="23"/>
    <w:uiPriority w:val="0"/>
    <w:rPr>
      <w:rFonts w:ascii="黑体" w:eastAsia="黑体" w:cs="Cambria"/>
      <w:kern w:val="2"/>
      <w:szCs w:val="30"/>
    </w:rPr>
  </w:style>
  <w:style w:type="character" w:customStyle="1" w:styleId="26">
    <w:name w:val="标题 2 Char"/>
    <w:basedOn w:val="19"/>
    <w:link w:val="3"/>
    <w:qFormat/>
    <w:uiPriority w:val="9"/>
    <w:rPr>
      <w:rFonts w:ascii="Cambria" w:hAnsi="Cambria" w:eastAsia="宋体" w:cs="Times New Roman"/>
      <w:b/>
      <w:bCs/>
      <w:spacing w:val="6"/>
      <w:sz w:val="32"/>
      <w:szCs w:val="32"/>
    </w:rPr>
  </w:style>
  <w:style w:type="character" w:customStyle="1" w:styleId="27">
    <w:name w:val="标题3 Char"/>
    <w:basedOn w:val="19"/>
    <w:link w:val="24"/>
    <w:qFormat/>
    <w:uiPriority w:val="0"/>
    <w:rPr>
      <w:rFonts w:ascii="宋体" w:hAnsi="宋体" w:eastAsia="楷体_GB2312" w:cs="仿宋"/>
      <w:spacing w:val="6"/>
      <w:kern w:val="2"/>
      <w:sz w:val="32"/>
      <w:szCs w:val="30"/>
    </w:rPr>
  </w:style>
  <w:style w:type="paragraph" w:customStyle="1" w:styleId="28">
    <w:name w:val="正文1"/>
    <w:basedOn w:val="1"/>
    <w:link w:val="30"/>
    <w:qFormat/>
    <w:uiPriority w:val="0"/>
    <w:pPr>
      <w:spacing w:line="600" w:lineRule="exact"/>
      <w:ind w:firstLine="624" w:firstLineChars="200"/>
    </w:pPr>
  </w:style>
  <w:style w:type="paragraph" w:customStyle="1" w:styleId="29">
    <w:name w:val="标题1"/>
    <w:basedOn w:val="2"/>
    <w:link w:val="31"/>
    <w:qFormat/>
    <w:uiPriority w:val="0"/>
    <w:pPr>
      <w:autoSpaceDE/>
      <w:autoSpaceDN/>
      <w:adjustRightInd/>
      <w:snapToGrid/>
      <w:spacing w:before="0" w:after="0" w:line="240" w:lineRule="auto"/>
      <w:jc w:val="center"/>
    </w:pPr>
    <w:rPr>
      <w:rFonts w:ascii="华文中宋" w:hAnsi="华文中宋" w:eastAsia="方正小标宋简体" w:cs="Calibri"/>
      <w:spacing w:val="0"/>
      <w:szCs w:val="36"/>
    </w:rPr>
  </w:style>
  <w:style w:type="character" w:customStyle="1" w:styleId="30">
    <w:name w:val="正文1 Char"/>
    <w:basedOn w:val="19"/>
    <w:link w:val="28"/>
    <w:qFormat/>
    <w:uiPriority w:val="0"/>
    <w:rPr>
      <w:rFonts w:ascii="宋体" w:hAnsi="宋体" w:eastAsia="仿宋_GB2312" w:cs="Times New Roman"/>
      <w:spacing w:val="6"/>
      <w:sz w:val="30"/>
      <w:szCs w:val="24"/>
    </w:rPr>
  </w:style>
  <w:style w:type="character" w:customStyle="1" w:styleId="31">
    <w:name w:val="标题1 Char"/>
    <w:basedOn w:val="32"/>
    <w:link w:val="29"/>
    <w:qFormat/>
    <w:uiPriority w:val="0"/>
    <w:rPr>
      <w:rFonts w:ascii="华文中宋" w:hAnsi="华文中宋" w:eastAsia="方正小标宋简体" w:cs="Calibri"/>
      <w:szCs w:val="36"/>
    </w:rPr>
  </w:style>
  <w:style w:type="character" w:customStyle="1" w:styleId="32">
    <w:name w:val="标题 1 Char"/>
    <w:basedOn w:val="19"/>
    <w:link w:val="2"/>
    <w:qFormat/>
    <w:uiPriority w:val="9"/>
    <w:rPr>
      <w:rFonts w:ascii="宋体" w:hAnsi="宋体" w:eastAsia="仿宋_GB2312" w:cs="Times New Roman"/>
      <w:b/>
      <w:bCs/>
      <w:spacing w:val="6"/>
      <w:kern w:val="44"/>
      <w:sz w:val="44"/>
      <w:szCs w:val="44"/>
    </w:rPr>
  </w:style>
  <w:style w:type="character" w:customStyle="1" w:styleId="33">
    <w:name w:val="页眉 Char"/>
    <w:basedOn w:val="19"/>
    <w:link w:val="12"/>
    <w:qFormat/>
    <w:uiPriority w:val="99"/>
    <w:rPr>
      <w:rFonts w:asciiTheme="minorHAnsi" w:hAnsiTheme="minorHAnsi" w:eastAsiaTheme="minorEastAsia" w:cstheme="minorBidi"/>
      <w:kern w:val="2"/>
      <w:sz w:val="18"/>
      <w:szCs w:val="18"/>
    </w:rPr>
  </w:style>
  <w:style w:type="character" w:customStyle="1" w:styleId="34">
    <w:name w:val="批注框文本 Char"/>
    <w:basedOn w:val="19"/>
    <w:link w:val="10"/>
    <w:semiHidden/>
    <w:qFormat/>
    <w:uiPriority w:val="99"/>
    <w:rPr>
      <w:rFonts w:ascii="宋体" w:hAnsi="宋体" w:eastAsia="仿宋_GB2312"/>
      <w:spacing w:val="6"/>
      <w:kern w:val="2"/>
      <w:sz w:val="18"/>
      <w:szCs w:val="18"/>
    </w:rPr>
  </w:style>
  <w:style w:type="character" w:customStyle="1" w:styleId="35">
    <w:name w:val="日期 Char"/>
    <w:basedOn w:val="19"/>
    <w:link w:val="9"/>
    <w:semiHidden/>
    <w:qFormat/>
    <w:uiPriority w:val="99"/>
    <w:rPr>
      <w:rFonts w:ascii="宋体" w:hAnsi="宋体" w:eastAsia="仿宋_GB2312"/>
      <w:spacing w:val="6"/>
      <w:kern w:val="2"/>
      <w:sz w:val="30"/>
      <w:szCs w:val="24"/>
    </w:rPr>
  </w:style>
  <w:style w:type="paragraph" w:customStyle="1" w:styleId="36">
    <w:name w:val="reader-word-layer"/>
    <w:basedOn w:val="1"/>
    <w:uiPriority w:val="0"/>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paragraph" w:customStyle="1" w:styleId="37">
    <w:name w:val="TOC Heading"/>
    <w:basedOn w:val="2"/>
    <w:next w:val="1"/>
    <w:unhideWhenUsed/>
    <w:qFormat/>
    <w:uiPriority w:val="39"/>
    <w:pPr>
      <w:widowControl/>
      <w:autoSpaceDE/>
      <w:autoSpaceDN/>
      <w:adjustRightInd/>
      <w:snapToGrid/>
      <w:spacing w:before="480" w:after="0" w:line="276" w:lineRule="auto"/>
      <w:jc w:val="left"/>
      <w:outlineLvl w:val="9"/>
    </w:pPr>
    <w:rPr>
      <w:rFonts w:asciiTheme="majorHAnsi" w:hAnsiTheme="majorHAnsi" w:eastAsiaTheme="majorEastAsia" w:cstheme="majorBidi"/>
      <w:color w:val="366091" w:themeColor="accent1" w:themeShade="BF"/>
      <w:spacing w:val="0"/>
      <w:kern w:val="0"/>
      <w:sz w:val="28"/>
      <w:szCs w:val="28"/>
    </w:rPr>
  </w:style>
  <w:style w:type="character" w:customStyle="1" w:styleId="38">
    <w:name w:val="标题 4 Char"/>
    <w:basedOn w:val="19"/>
    <w:link w:val="5"/>
    <w:semiHidden/>
    <w:uiPriority w:val="9"/>
    <w:rPr>
      <w:rFonts w:asciiTheme="majorHAnsi" w:hAnsiTheme="majorHAnsi" w:eastAsiaTheme="majorEastAsia" w:cstheme="majorBidi"/>
      <w:b/>
      <w:bCs/>
      <w:spacing w:val="6"/>
      <w:kern w:val="2"/>
      <w:sz w:val="28"/>
      <w:szCs w:val="28"/>
    </w:rPr>
  </w:style>
  <w:style w:type="character" w:customStyle="1" w:styleId="39">
    <w:name w:val="标题 5 Char"/>
    <w:basedOn w:val="19"/>
    <w:link w:val="6"/>
    <w:semiHidden/>
    <w:qFormat/>
    <w:uiPriority w:val="9"/>
    <w:rPr>
      <w:rFonts w:ascii="宋体" w:hAnsi="宋体" w:eastAsia="仿宋_GB2312"/>
      <w:b/>
      <w:bCs/>
      <w:spacing w:val="6"/>
      <w:kern w:val="2"/>
      <w:sz w:val="28"/>
      <w:szCs w:val="28"/>
    </w:rPr>
  </w:style>
  <w:style w:type="character" w:customStyle="1" w:styleId="40">
    <w:name w:val="文档结构图 Char"/>
    <w:basedOn w:val="19"/>
    <w:link w:val="7"/>
    <w:semiHidden/>
    <w:uiPriority w:val="99"/>
    <w:rPr>
      <w:rFonts w:ascii="宋体" w:hAnsi="宋体"/>
      <w:spacing w:val="6"/>
      <w:kern w:val="2"/>
      <w:sz w:val="18"/>
      <w:szCs w:val="18"/>
    </w:rPr>
  </w:style>
  <w:style w:type="character" w:customStyle="1" w:styleId="41">
    <w:name w:val="页脚 Char"/>
    <w:basedOn w:val="19"/>
    <w:link w:val="11"/>
    <w:qFormat/>
    <w:uiPriority w:val="99"/>
    <w:rPr>
      <w:rFonts w:ascii="宋体" w:hAnsi="宋体" w:eastAsia="仿宋_GB2312"/>
      <w:spacing w:val="6"/>
      <w:kern w:val="2"/>
      <w:sz w:val="18"/>
      <w:szCs w:val="18"/>
    </w:rPr>
  </w:style>
  <w:style w:type="paragraph" w:styleId="42">
    <w:name w:val="List Paragraph"/>
    <w:basedOn w:val="1"/>
    <w:qFormat/>
    <w:uiPriority w:val="99"/>
    <w:pPr>
      <w:autoSpaceDE/>
      <w:autoSpaceDN/>
      <w:adjustRightInd/>
      <w:snapToGrid/>
      <w:spacing w:line="240" w:lineRule="auto"/>
      <w:ind w:firstLine="420" w:firstLineChars="200"/>
    </w:pPr>
    <w:rPr>
      <w:rFonts w:ascii="Times New Roman" w:hAnsi="Times New Roman" w:eastAsia="宋体"/>
      <w:spacing w:val="0"/>
      <w:sz w:val="21"/>
    </w:rPr>
  </w:style>
  <w:style w:type="paragraph" w:styleId="43">
    <w:name w:val="No Spacing"/>
    <w:qFormat/>
    <w:uiPriority w:val="1"/>
    <w:pPr>
      <w:widowControl w:val="0"/>
      <w:autoSpaceDE w:val="0"/>
      <w:autoSpaceDN w:val="0"/>
      <w:adjustRightInd w:val="0"/>
      <w:snapToGrid w:val="0"/>
      <w:jc w:val="both"/>
    </w:pPr>
    <w:rPr>
      <w:rFonts w:ascii="宋体" w:hAnsi="宋体" w:eastAsia="仿宋_GB2312" w:cs="Times New Roman"/>
      <w:spacing w:val="6"/>
      <w:kern w:val="2"/>
      <w:sz w:val="30"/>
      <w:szCs w:val="24"/>
      <w:lang w:val="en-US" w:eastAsia="zh-CN" w:bidi="ar-SA"/>
    </w:rPr>
  </w:style>
  <w:style w:type="character" w:customStyle="1" w:styleId="44">
    <w:name w:val="标题 3 Char"/>
    <w:basedOn w:val="19"/>
    <w:link w:val="4"/>
    <w:uiPriority w:val="9"/>
    <w:rPr>
      <w:rFonts w:ascii="宋体" w:hAnsi="宋体" w:eastAsia="仿宋_GB2312"/>
      <w:b/>
      <w:bCs/>
      <w:spacing w:val="6"/>
      <w:kern w:val="2"/>
      <w:sz w:val="32"/>
      <w:szCs w:val="32"/>
    </w:rPr>
  </w:style>
  <w:style w:type="table" w:customStyle="1" w:styleId="45">
    <w:name w:val="网格型1"/>
    <w:basedOn w:val="17"/>
    <w:qFormat/>
    <w:uiPriority w:val="59"/>
    <w:pPr>
      <w:spacing w:line="20" w:lineRule="exact"/>
    </w:pPr>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2">
      <a:majorFont>
        <a:latin typeface="Cambria"/>
        <a:ea typeface="楷体_GB2312"/>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E8B5F-C23B-43C0-91D7-51AD20264176}">
  <ds:schemaRefs/>
</ds:datastoreItem>
</file>

<file path=docProps/app.xml><?xml version="1.0" encoding="utf-8"?>
<Properties xmlns="http://schemas.openxmlformats.org/officeDocument/2006/extended-properties" xmlns:vt="http://schemas.openxmlformats.org/officeDocument/2006/docPropsVTypes">
  <Template>Normal.dotm</Template>
  <Company>mof</Company>
  <Pages>32</Pages>
  <Words>2955</Words>
  <Characters>16849</Characters>
  <Lines>140</Lines>
  <Paragraphs>39</Paragraphs>
  <TotalTime>46</TotalTime>
  <ScaleCrop>false</ScaleCrop>
  <LinksUpToDate>false</LinksUpToDate>
  <CharactersWithSpaces>19765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2017-09-12T01:36:00Z</dcterms:created>
  <dc:creator>李灿</dc:creator>
  <cp:lastModifiedBy>劉 阿 娜 </cp:lastModifiedBy>
  <cp:lastPrinted>2019-05-28T05:15:30Z</cp:lastPrinted>
  <dcterms:modified xsi:type="dcterms:W3CDTF">2019-05-28T06:03:33Z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